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3EFA7" w14:textId="382A2ABF" w:rsidR="00360BA0" w:rsidRDefault="00541F9A" w:rsidP="004478D3">
      <w:r>
        <w:rPr>
          <w:noProof/>
        </w:rPr>
        <w:drawing>
          <wp:inline distT="0" distB="0" distL="0" distR="0" wp14:anchorId="78165413" wp14:editId="0BA45970">
            <wp:extent cx="8749665" cy="54000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749665"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2F1CDE" w:rsidRPr="002F1CDE" w14:paraId="5119CF7A" w14:textId="77777777" w:rsidTr="002F1CDE">
        <w:trPr>
          <w:trHeight w:val="250"/>
          <w:tblCellSpacing w:w="0" w:type="dxa"/>
          <w:jc w:val="center"/>
        </w:trPr>
        <w:tc>
          <w:tcPr>
            <w:tcW w:w="4500" w:type="pct"/>
            <w:tcBorders>
              <w:top w:val="nil"/>
              <w:left w:val="nil"/>
              <w:bottom w:val="nil"/>
              <w:right w:val="nil"/>
            </w:tcBorders>
            <w:shd w:val="clear" w:color="auto" w:fill="95B3D7"/>
            <w:vAlign w:val="center"/>
            <w:hideMark/>
          </w:tcPr>
          <w:p w14:paraId="2561FCA8" w14:textId="77777777" w:rsidR="002F1CDE" w:rsidRPr="002F1CDE" w:rsidRDefault="002F1CDE" w:rsidP="002F1CDE">
            <w:pPr>
              <w:spacing w:after="0" w:line="240" w:lineRule="auto"/>
              <w:rPr>
                <w:rFonts w:eastAsia="Times New Roman" w:cstheme="minorHAnsi"/>
                <w:color w:val="000000"/>
                <w:lang w:eastAsia="pt-BR"/>
              </w:rPr>
            </w:pPr>
            <w:r w:rsidRPr="002F1CDE">
              <w:rPr>
                <w:rFonts w:eastAsia="Times New Roman" w:cstheme="minorHAnsi"/>
                <w:b/>
                <w:bCs/>
                <w:color w:val="000000"/>
                <w:lang w:eastAsia="pt-BR"/>
              </w:rPr>
              <w:lastRenderedPageBreak/>
              <w:t>Ação: 4222 - MODERNIZAÇÃO E/OU MELHORIA DA INFRAESTRUTURA FÍSICA E/OU TÉCNOLÓGICA DAS UNIDADES DA FUNDAÇÃO HEMOMINAS</w:t>
            </w:r>
            <w:r w:rsidRPr="002F1CDE">
              <w:rPr>
                <w:rFonts w:eastAsia="Times New Roman" w:cstheme="minorHAnsi"/>
                <w:color w:val="000000"/>
                <w:lang w:eastAsia="pt-BR"/>
              </w:rPr>
              <w:t xml:space="preserve"> </w:t>
            </w:r>
          </w:p>
        </w:tc>
        <w:tc>
          <w:tcPr>
            <w:tcW w:w="500" w:type="pct"/>
            <w:tcBorders>
              <w:top w:val="nil"/>
              <w:left w:val="nil"/>
              <w:bottom w:val="nil"/>
              <w:right w:val="nil"/>
            </w:tcBorders>
            <w:shd w:val="clear" w:color="auto" w:fill="95B3D7"/>
            <w:vAlign w:val="center"/>
            <w:hideMark/>
          </w:tcPr>
          <w:p w14:paraId="3B268DC7" w14:textId="77777777" w:rsidR="002F1CDE" w:rsidRPr="002F1CDE" w:rsidRDefault="002F1CDE" w:rsidP="002F1CDE">
            <w:pPr>
              <w:spacing w:after="0" w:line="240" w:lineRule="auto"/>
              <w:jc w:val="right"/>
              <w:rPr>
                <w:rFonts w:eastAsia="Times New Roman" w:cstheme="minorHAnsi"/>
                <w:color w:val="000000"/>
                <w:lang w:eastAsia="pt-BR"/>
              </w:rPr>
            </w:pPr>
            <w:r w:rsidRPr="002F1CDE">
              <w:rPr>
                <w:rFonts w:eastAsia="Times New Roman" w:cstheme="minorHAnsi"/>
                <w:b/>
                <w:bCs/>
                <w:color w:val="000000"/>
                <w:lang w:eastAsia="pt-BR"/>
              </w:rPr>
              <w:t>IAG: 0 </w:t>
            </w:r>
          </w:p>
        </w:tc>
      </w:tr>
    </w:tbl>
    <w:p w14:paraId="66396066" w14:textId="77777777" w:rsidR="002F1CDE" w:rsidRPr="002F1CDE" w:rsidRDefault="002F1CDE" w:rsidP="002F1CDE">
      <w:pPr>
        <w:numPr>
          <w:ilvl w:val="0"/>
          <w:numId w:val="30"/>
        </w:numPr>
        <w:spacing w:before="100" w:beforeAutospacing="1" w:after="240" w:line="240" w:lineRule="auto"/>
        <w:rPr>
          <w:rFonts w:eastAsia="Times New Roman" w:cstheme="minorHAnsi"/>
          <w:color w:val="000000"/>
          <w:lang w:eastAsia="pt-BR"/>
        </w:rPr>
      </w:pPr>
      <w:r w:rsidRPr="002F1CDE">
        <w:rPr>
          <w:rFonts w:eastAsia="Times New Roman" w:cstheme="minorHAnsi"/>
          <w:b/>
          <w:bCs/>
          <w:color w:val="000000"/>
          <w:lang w:eastAsia="pt-BR"/>
        </w:rPr>
        <w:t>Primeiro Bimestre</w:t>
      </w:r>
      <w:r w:rsidRPr="002F1CDE">
        <w:rPr>
          <w:rFonts w:eastAsia="Times New Roman" w:cstheme="minorHAnsi"/>
          <w:color w:val="000000"/>
          <w:lang w:eastAsia="pt-BR"/>
        </w:rPr>
        <w:t xml:space="preserve"> </w:t>
      </w:r>
    </w:p>
    <w:p w14:paraId="6090BAAA" w14:textId="03AF1F87" w:rsidR="002F1CDE" w:rsidRPr="002F1CDE" w:rsidRDefault="002F1CDE" w:rsidP="002F1CDE">
      <w:pPr>
        <w:spacing w:before="100" w:beforeAutospacing="1" w:after="100" w:afterAutospacing="1" w:line="240" w:lineRule="auto"/>
        <w:ind w:left="720"/>
        <w:jc w:val="both"/>
        <w:rPr>
          <w:rFonts w:eastAsia="Times New Roman" w:cstheme="minorHAnsi"/>
          <w:color w:val="000000"/>
          <w:lang w:eastAsia="pt-BR"/>
        </w:rPr>
      </w:pPr>
      <w:r w:rsidRPr="002F1CDE">
        <w:rPr>
          <w:rFonts w:eastAsia="Times New Roman" w:cstheme="minorHAnsi"/>
          <w:b/>
          <w:bCs/>
          <w:color w:val="000000"/>
          <w:lang w:eastAsia="pt-BR"/>
        </w:rPr>
        <w:t xml:space="preserve">Justificativa de Desempenho Jan-Fev: </w:t>
      </w:r>
    </w:p>
    <w:p w14:paraId="2B55EBD1" w14:textId="152DB0B8" w:rsidR="002F1CDE" w:rsidRPr="002F1CDE" w:rsidRDefault="002F1CDE" w:rsidP="002F1CDE">
      <w:pPr>
        <w:spacing w:before="100" w:beforeAutospacing="1" w:after="100" w:afterAutospacing="1" w:line="240" w:lineRule="auto"/>
        <w:ind w:left="720"/>
        <w:rPr>
          <w:rFonts w:eastAsia="Times New Roman" w:cstheme="minorHAnsi"/>
          <w:color w:val="000000"/>
          <w:lang w:eastAsia="pt-BR"/>
        </w:rPr>
      </w:pPr>
      <w:r w:rsidRPr="002F1CDE">
        <w:rPr>
          <w:rFonts w:eastAsia="Times New Roman" w:cstheme="minorHAnsi"/>
          <w:b/>
          <w:bCs/>
          <w:color w:val="000000"/>
          <w:lang w:eastAsia="pt-BR"/>
        </w:rPr>
        <w:t xml:space="preserve">Outras informações de situação: </w:t>
      </w:r>
      <w:r w:rsidRPr="002F1CDE">
        <w:rPr>
          <w:rFonts w:eastAsia="Times New Roman" w:cstheme="minorHAnsi"/>
          <w:color w:val="000000"/>
          <w:lang w:eastAsia="pt-BR"/>
        </w:rPr>
        <w:t>Abaixo seguem as justificativas das áreas, sendo neste bimestre registrado 2 unidades da Fundação como beneficiadas com alguma modernização e/ou melhoria de infraestrutura física como reforma, construção, adequação, novos equipamentos e mobiliários técnicos ou administrativos</w:t>
      </w:r>
      <w:r>
        <w:rPr>
          <w:rFonts w:eastAsia="Times New Roman" w:cstheme="minorHAnsi"/>
          <w:color w:val="000000"/>
          <w:lang w:eastAsia="pt-BR"/>
        </w:rPr>
        <w:t>.</w:t>
      </w:r>
      <w:r w:rsidRPr="002F1CDE">
        <w:rPr>
          <w:rFonts w:eastAsia="Times New Roman" w:cstheme="minorHAnsi"/>
          <w:color w:val="000000"/>
          <w:lang w:eastAsia="pt-BR"/>
        </w:rPr>
        <w:br/>
      </w:r>
      <w:r w:rsidRPr="002F1CDE">
        <w:rPr>
          <w:rFonts w:eastAsia="Times New Roman" w:cstheme="minorHAnsi"/>
          <w:color w:val="000000"/>
          <w:lang w:eastAsia="pt-BR"/>
        </w:rPr>
        <w:br/>
        <w:t>GERÊNCIA DE TECNOLOGIA DA INFORMAÇÃO:</w:t>
      </w:r>
      <w:r w:rsidRPr="002F1CDE">
        <w:rPr>
          <w:rFonts w:eastAsia="Times New Roman" w:cstheme="minorHAnsi"/>
          <w:color w:val="000000"/>
          <w:lang w:eastAsia="pt-BR"/>
        </w:rPr>
        <w:br/>
        <w:t>Em janeiro foram distribuídos em Belo Horizonte Notebooks: 33 unidades. Ressaltamos que, no mês de fevereiro/26, não houve distribuição de equipamentos. Isso ocorreu porque os lançamentos referentes a esse período somente foram registrados em março, uma vez que dependemos do setor de Patrimônio para efetuar a inclusão dos bens no SIAD.</w:t>
      </w:r>
      <w:r w:rsidRPr="002F1CDE">
        <w:rPr>
          <w:rFonts w:eastAsia="Times New Roman" w:cstheme="minorHAnsi"/>
          <w:color w:val="000000"/>
          <w:lang w:eastAsia="pt-BR"/>
        </w:rPr>
        <w:br/>
      </w:r>
      <w:r w:rsidRPr="002F1CDE">
        <w:rPr>
          <w:rFonts w:eastAsia="Times New Roman" w:cstheme="minorHAnsi"/>
          <w:color w:val="000000"/>
          <w:lang w:eastAsia="pt-BR"/>
        </w:rPr>
        <w:br/>
      </w:r>
      <w:r w:rsidRPr="002F1CDE">
        <w:rPr>
          <w:rFonts w:eastAsia="Times New Roman" w:cstheme="minorHAnsi"/>
          <w:color w:val="000000"/>
          <w:lang w:eastAsia="pt-BR"/>
        </w:rPr>
        <w:br/>
        <w:t>GERÊNCIA DE INFRAESTRUTURA FÍSICA.</w:t>
      </w:r>
      <w:r w:rsidRPr="002F1CDE">
        <w:rPr>
          <w:rFonts w:eastAsia="Times New Roman" w:cstheme="minorHAnsi"/>
          <w:color w:val="000000"/>
          <w:lang w:eastAsia="pt-BR"/>
        </w:rPr>
        <w:br/>
        <w:t>A execução acumulada até fevereiro permaneceu baixa frente ao crédito anual, pois a maior parte dos objetos previstos no PAC/GIF 2026 segue com início previsto a partir do 2º trimestre, com maior concentração no 2º semestre. Ainda assim, no 1º bimestre houve apropriação física de 10 unidades, concentrada em fevereiro, em razão da conclusão de intervenções já em andamento, especialmente os contratos de SPDA dos Lotes 1 e 2 e da instalação/aprovação técnica do banco de capacitores da subestação de UDI. Nas demais frentes predominaram atividades preparatórias, como projetos, TRs, levantamentos, visitas técnicas, tramitações de contratação e ajustes técnico-orçamentários.</w:t>
      </w:r>
      <w:r w:rsidRPr="002F1CDE">
        <w:rPr>
          <w:rFonts w:eastAsia="Times New Roman" w:cstheme="minorHAnsi"/>
          <w:color w:val="000000"/>
          <w:lang w:eastAsia="pt-BR"/>
        </w:rPr>
        <w:br/>
        <w:t>No 1º bimestre, além da revisão do PAC/2026 e da preparação das contratações de obras, adequações civis, mobiliário técnico e serviços de infraestrutura, houve resultados concretos em contratos e apoios técnicos: foram informadas como finalizadas as partes técnica e de pagamento dos contratos de SPDA Lote 1 (BET, CETEBIO, DIV, HJK e SLA) e Lote 2 (DIA, GOV, MCU e MOC), bem como a instalação e aprovação técnica do banco de capacitores da subestação de UDI. Também foram realizadas visitas e levantamentos técnicos relevantes em PNO, PASSOS, URA, UDI, BET e outras unidades, com emissão de relatórios e encaminhamentos para execução/contratação. Persistem, contudo, dificuldades relacionadas à maturação técnica dos objetos, elaboração de projetos/TR, tramitação licitatória/contratual, dependência de terceiros e compatibilização técnico orçamentária.</w:t>
      </w:r>
      <w:r w:rsidRPr="002F1CDE">
        <w:rPr>
          <w:rFonts w:eastAsia="Times New Roman" w:cstheme="minorHAnsi"/>
          <w:color w:val="000000"/>
          <w:lang w:eastAsia="pt-BR"/>
        </w:rPr>
        <w:br/>
      </w:r>
      <w:r w:rsidRPr="002F1CDE">
        <w:rPr>
          <w:rFonts w:eastAsia="Times New Roman" w:cstheme="minorHAnsi"/>
          <w:color w:val="000000"/>
          <w:lang w:eastAsia="pt-BR"/>
        </w:rPr>
        <w:br/>
      </w:r>
      <w:r w:rsidRPr="002F1CDE">
        <w:rPr>
          <w:rFonts w:eastAsia="Times New Roman" w:cstheme="minorHAnsi"/>
          <w:color w:val="000000"/>
          <w:lang w:eastAsia="pt-BR"/>
        </w:rPr>
        <w:lastRenderedPageBreak/>
        <w:br/>
        <w:t>GERÊNCIA DE ENGENHARIA CLINICA/CAT:</w:t>
      </w:r>
      <w:r w:rsidRPr="002F1CDE">
        <w:rPr>
          <w:rFonts w:eastAsia="Times New Roman" w:cstheme="minorHAnsi"/>
          <w:color w:val="000000"/>
          <w:lang w:eastAsia="pt-BR"/>
        </w:rPr>
        <w:br/>
        <w:t>Não houve entregas consideráveis nas unidades da FH no primeiro bimestre de 2026, uma vez que no período não houve finalização de processos. Os equipamentos que foram entregues nesse período serão distribuídos no segundo bimestre de 2026.</w:t>
      </w:r>
      <w:r w:rsidRPr="002F1CDE">
        <w:rPr>
          <w:rFonts w:eastAsia="Times New Roman" w:cstheme="minorHAnsi"/>
          <w:color w:val="000000"/>
          <w:lang w:eastAsia="pt-BR"/>
        </w:rPr>
        <w:br/>
        <w:t>As principais entregas no primeiro bimestre de 2026 se referem a execução do RP 197/2025, no qual foram adquiridos escadas de 2 degraus, mesas para exames clínicos, balanças antropom</w:t>
      </w:r>
      <w:r>
        <w:rPr>
          <w:rFonts w:eastAsia="Times New Roman" w:cstheme="minorHAnsi"/>
          <w:color w:val="000000"/>
          <w:lang w:eastAsia="pt-BR"/>
        </w:rPr>
        <w:t>é</w:t>
      </w:r>
      <w:r w:rsidRPr="002F1CDE">
        <w:rPr>
          <w:rFonts w:eastAsia="Times New Roman" w:cstheme="minorHAnsi"/>
          <w:color w:val="000000"/>
          <w:lang w:eastAsia="pt-BR"/>
        </w:rPr>
        <w:t>tricas e gaveteiro. Acontece que tais itens ainda não foram distribuídos integralmente, razão pela qual a execução no monitoramento foi baixa. Ademais, alguns processos fracassaram, o que adia a execução de determinados itens. Não foram identificadas dificuldades relevantes.</w:t>
      </w:r>
    </w:p>
    <w:p w14:paraId="35A4C767" w14:textId="77777777" w:rsidR="000C492F" w:rsidRDefault="000C492F" w:rsidP="004478D3">
      <w:pPr>
        <w:rPr>
          <w:rFonts w:cstheme="minorHAnsi"/>
        </w:rPr>
      </w:pPr>
    </w:p>
    <w:p w14:paraId="63F1CB7E" w14:textId="77777777" w:rsidR="000C492F" w:rsidRDefault="000C492F" w:rsidP="004478D3">
      <w:pPr>
        <w:rPr>
          <w:rFonts w:cstheme="minorHAnsi"/>
        </w:rPr>
      </w:pPr>
    </w:p>
    <w:p w14:paraId="20D074E9" w14:textId="77777777" w:rsidR="000C492F" w:rsidRDefault="000C492F" w:rsidP="004478D3">
      <w:pPr>
        <w:rPr>
          <w:rFonts w:cstheme="minorHAnsi"/>
        </w:rPr>
      </w:pPr>
    </w:p>
    <w:p w14:paraId="44B6B1C9" w14:textId="7821CDA8" w:rsidR="002F1CDE" w:rsidRDefault="000C492F" w:rsidP="004478D3">
      <w:pPr>
        <w:rPr>
          <w:rFonts w:cstheme="minorHAnsi"/>
        </w:rPr>
      </w:pPr>
      <w:r>
        <w:rPr>
          <w:noProof/>
        </w:rPr>
        <w:lastRenderedPageBreak/>
        <w:drawing>
          <wp:inline distT="0" distB="0" distL="0" distR="0" wp14:anchorId="70C57E22" wp14:editId="6384C17B">
            <wp:extent cx="8625840" cy="5400040"/>
            <wp:effectExtent l="0" t="0" r="381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625840"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0C492F" w:rsidRPr="000C492F" w14:paraId="78501646" w14:textId="77777777" w:rsidTr="000C492F">
        <w:trPr>
          <w:trHeight w:val="250"/>
          <w:tblCellSpacing w:w="0" w:type="dxa"/>
          <w:jc w:val="center"/>
        </w:trPr>
        <w:tc>
          <w:tcPr>
            <w:tcW w:w="4500" w:type="pct"/>
            <w:tcBorders>
              <w:top w:val="nil"/>
              <w:left w:val="nil"/>
              <w:bottom w:val="nil"/>
              <w:right w:val="nil"/>
            </w:tcBorders>
            <w:shd w:val="clear" w:color="auto" w:fill="95B3D7"/>
            <w:vAlign w:val="center"/>
            <w:hideMark/>
          </w:tcPr>
          <w:p w14:paraId="03933010" w14:textId="77777777" w:rsidR="000C492F" w:rsidRPr="000C492F" w:rsidRDefault="000C492F" w:rsidP="000C492F">
            <w:pPr>
              <w:rPr>
                <w:rFonts w:cstheme="minorHAnsi"/>
              </w:rPr>
            </w:pPr>
            <w:r w:rsidRPr="000C492F">
              <w:rPr>
                <w:rFonts w:cstheme="minorHAnsi"/>
                <w:b/>
                <w:bCs/>
              </w:rPr>
              <w:lastRenderedPageBreak/>
              <w:t>Ação: 4222 - MODERNIZAÇÃO E/OU MELHORIA DA INFRAESTRUTURA FÍSICA E/OU TÉCNOLÓGICA DAS UNIDADES DA FUNDAÇÃO HEMOMINAS</w:t>
            </w:r>
            <w:r w:rsidRPr="000C492F">
              <w:rPr>
                <w:rFonts w:cstheme="minorHAnsi"/>
              </w:rPr>
              <w:t xml:space="preserve"> </w:t>
            </w:r>
          </w:p>
        </w:tc>
        <w:tc>
          <w:tcPr>
            <w:tcW w:w="500" w:type="pct"/>
            <w:tcBorders>
              <w:top w:val="nil"/>
              <w:left w:val="nil"/>
              <w:bottom w:val="nil"/>
              <w:right w:val="nil"/>
            </w:tcBorders>
            <w:shd w:val="clear" w:color="auto" w:fill="95B3D7"/>
            <w:vAlign w:val="center"/>
            <w:hideMark/>
          </w:tcPr>
          <w:p w14:paraId="40A796C7" w14:textId="77777777" w:rsidR="000C492F" w:rsidRPr="000C492F" w:rsidRDefault="000C492F" w:rsidP="000C492F">
            <w:pPr>
              <w:rPr>
                <w:rFonts w:cstheme="minorHAnsi"/>
              </w:rPr>
            </w:pPr>
            <w:r w:rsidRPr="000C492F">
              <w:rPr>
                <w:rFonts w:cstheme="minorHAnsi"/>
                <w:b/>
                <w:bCs/>
              </w:rPr>
              <w:t>IAG: 0 </w:t>
            </w:r>
          </w:p>
        </w:tc>
      </w:tr>
    </w:tbl>
    <w:p w14:paraId="33736E4C" w14:textId="77777777" w:rsidR="000C492F" w:rsidRPr="000C492F" w:rsidRDefault="000C492F" w:rsidP="000C492F">
      <w:pPr>
        <w:numPr>
          <w:ilvl w:val="0"/>
          <w:numId w:val="31"/>
        </w:numPr>
        <w:rPr>
          <w:rFonts w:cstheme="minorHAnsi"/>
        </w:rPr>
      </w:pPr>
      <w:r w:rsidRPr="000C492F">
        <w:rPr>
          <w:rFonts w:cstheme="minorHAnsi"/>
          <w:b/>
          <w:bCs/>
        </w:rPr>
        <w:t>Segundo Bimestre</w:t>
      </w:r>
      <w:r w:rsidRPr="000C492F">
        <w:rPr>
          <w:rFonts w:cstheme="minorHAnsi"/>
        </w:rPr>
        <w:t xml:space="preserve"> </w:t>
      </w:r>
    </w:p>
    <w:p w14:paraId="6E5B1E9E" w14:textId="77777777" w:rsidR="000C492F" w:rsidRPr="000C492F" w:rsidRDefault="000C492F" w:rsidP="000C492F">
      <w:pPr>
        <w:rPr>
          <w:rFonts w:cstheme="minorHAnsi"/>
        </w:rPr>
      </w:pPr>
      <w:r w:rsidRPr="000C492F">
        <w:rPr>
          <w:rFonts w:cstheme="minorHAnsi"/>
          <w:b/>
          <w:bCs/>
        </w:rPr>
        <w:t xml:space="preserve">Justificativa de Desempenho Jan-Abr: </w:t>
      </w:r>
      <w:r w:rsidRPr="000C492F">
        <w:rPr>
          <w:rFonts w:cstheme="minorHAnsi"/>
        </w:rPr>
        <w:t>O resultado subestimado decorre, principalmente, da não efetivação da programação prevista na LOA, uma vez que os processos de compra programados para empenho/liquidação em abril não foram homologados e ainda se encontram em andamento. Além disso, houve a conclusão de serviços de SPDA em algumas unidades, classificados como melhorias, mas que não estavam programados para este bimestre.</w:t>
      </w:r>
    </w:p>
    <w:p w14:paraId="38B27867" w14:textId="77777777" w:rsidR="000C492F" w:rsidRPr="000C492F" w:rsidRDefault="000C492F" w:rsidP="000C492F">
      <w:pPr>
        <w:rPr>
          <w:rFonts w:cstheme="minorHAnsi"/>
        </w:rPr>
      </w:pPr>
    </w:p>
    <w:p w14:paraId="21F5D68C" w14:textId="77777777" w:rsidR="00BB0FA0" w:rsidRDefault="000C492F" w:rsidP="004478D3">
      <w:pPr>
        <w:rPr>
          <w:rFonts w:cstheme="minorHAnsi"/>
          <w:b/>
          <w:bCs/>
        </w:rPr>
      </w:pPr>
      <w:r w:rsidRPr="000C492F">
        <w:rPr>
          <w:rFonts w:cstheme="minorHAnsi"/>
          <w:b/>
          <w:bCs/>
        </w:rPr>
        <w:t>Outras informações de situação:</w:t>
      </w:r>
    </w:p>
    <w:p w14:paraId="40B282A9" w14:textId="6F346BBC" w:rsidR="000C492F" w:rsidRPr="002F1CDE" w:rsidRDefault="000C492F" w:rsidP="004478D3">
      <w:pPr>
        <w:rPr>
          <w:rFonts w:cstheme="minorHAnsi"/>
        </w:rPr>
      </w:pPr>
      <w:r w:rsidRPr="000C492F">
        <w:rPr>
          <w:rFonts w:cstheme="minorHAnsi"/>
          <w:b/>
          <w:bCs/>
        </w:rPr>
        <w:t xml:space="preserve"> </w:t>
      </w:r>
      <w:r w:rsidRPr="000C492F">
        <w:rPr>
          <w:rFonts w:cstheme="minorHAnsi"/>
        </w:rPr>
        <w:t>GERÊNCIA DE TECNOLOGIA DA INFORMAÇÃO:</w:t>
      </w:r>
      <w:r w:rsidRPr="000C492F">
        <w:rPr>
          <w:rFonts w:cstheme="minorHAnsi"/>
        </w:rPr>
        <w:br/>
        <w:t>Foram entregues 82 equipamentos: Notebook: 05 unidades; Computador: 38 unidades; Webcam: 04 unidades; Leitor Óptico: 35 unidades. A atividades se encontram dentro do previsto, incluindo medidas de segurança da informação e proteção de dados.</w:t>
      </w:r>
      <w:r w:rsidRPr="000C492F">
        <w:rPr>
          <w:rFonts w:cstheme="minorHAnsi"/>
        </w:rPr>
        <w:br/>
      </w:r>
      <w:r w:rsidRPr="000C492F">
        <w:rPr>
          <w:rFonts w:cstheme="minorHAnsi"/>
        </w:rPr>
        <w:br/>
        <w:t>GERÊNCIA DE INFRAESTRUTURA FÍSICA</w:t>
      </w:r>
      <w:r w:rsidR="00BB0FA0">
        <w:rPr>
          <w:rFonts w:cstheme="minorHAnsi"/>
        </w:rPr>
        <w:t>:</w:t>
      </w:r>
      <w:r w:rsidRPr="000C492F">
        <w:rPr>
          <w:rFonts w:cstheme="minorHAnsi"/>
        </w:rPr>
        <w:br/>
        <w:t>Destacaram-se: conclusão técnica dos serviços de SPDA nas unidades POC, URA e UDI, com liberação de pagamento prevista para URA e UDI e manutenção de tratativas com a empresa para correção de pendência em POC; continuidade da reforma da ADC Av. Brasil, com acompanhamento das pendências por pavimento, cabeamento, SPDA e demais ajustes; avanço das reformas elétricas de JFO e URA, incluindo programação de desligamentos e comunicação às unidades envolvidas; acompanhamento da construção da nova sede de Ponte Nova, com testes de gerador e pendência de envio de laudo de SPDA; desenvolvimento de projetos e documentos técnicos para PAL, BET, SLA e UDI; e continuidade das demandas ambientais, tais como contratação de recolhimento de resíduos, acordos de cooperação para recicláveis, supressão de ITU nos contratos ambientais, poda/supressão de árvores problemáticas, monitoramento de potabilidade, efluentes e Programa Ambientação. As dificuldades predominantes permanecem relacionadas à dependência de terceiros, aprovações externas, disponibilidade orçamentária/financeira, prazos licitatórios e necessidade de compatibilização entre arquitetura, engenharia, manutenção predial, unidades e demais áreas técnicas.</w:t>
      </w:r>
      <w:r w:rsidRPr="000C492F">
        <w:rPr>
          <w:rFonts w:cstheme="minorHAnsi"/>
        </w:rPr>
        <w:br/>
      </w:r>
      <w:r w:rsidRPr="000C492F">
        <w:rPr>
          <w:rFonts w:cstheme="minorHAnsi"/>
        </w:rPr>
        <w:br/>
      </w:r>
      <w:r w:rsidRPr="000C492F">
        <w:rPr>
          <w:rFonts w:cstheme="minorHAnsi"/>
        </w:rPr>
        <w:br/>
        <w:t>GERÊNCIA DE ENGENHARIA CLINICA/CAT:</w:t>
      </w:r>
      <w:r w:rsidRPr="000C492F">
        <w:rPr>
          <w:rFonts w:cstheme="minorHAnsi"/>
        </w:rPr>
        <w:br/>
        <w:t>Houve finalização de um processo (dryshippers), contudo, os itens ainda não foram entregues</w:t>
      </w:r>
      <w:r>
        <w:rPr>
          <w:rFonts w:cstheme="minorHAnsi"/>
        </w:rPr>
        <w:t>.</w:t>
      </w:r>
    </w:p>
    <w:sectPr w:rsidR="000C492F" w:rsidRPr="002F1CDE" w:rsidSect="0062425A">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0FED"/>
    <w:multiLevelType w:val="multilevel"/>
    <w:tmpl w:val="31FC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3C9"/>
    <w:multiLevelType w:val="multilevel"/>
    <w:tmpl w:val="0CD8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C35EC"/>
    <w:multiLevelType w:val="hybridMultilevel"/>
    <w:tmpl w:val="6926412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0E8E09DD"/>
    <w:multiLevelType w:val="multilevel"/>
    <w:tmpl w:val="477A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C7C24"/>
    <w:multiLevelType w:val="multilevel"/>
    <w:tmpl w:val="9AF6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22BF0"/>
    <w:multiLevelType w:val="multilevel"/>
    <w:tmpl w:val="AA84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D4774"/>
    <w:multiLevelType w:val="multilevel"/>
    <w:tmpl w:val="EDA0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22B26"/>
    <w:multiLevelType w:val="multilevel"/>
    <w:tmpl w:val="F54C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B1077"/>
    <w:multiLevelType w:val="multilevel"/>
    <w:tmpl w:val="CEE8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96333"/>
    <w:multiLevelType w:val="multilevel"/>
    <w:tmpl w:val="C7AC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F2CFF"/>
    <w:multiLevelType w:val="multilevel"/>
    <w:tmpl w:val="CED4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C663B"/>
    <w:multiLevelType w:val="multilevel"/>
    <w:tmpl w:val="7A54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2395D"/>
    <w:multiLevelType w:val="multilevel"/>
    <w:tmpl w:val="CA0C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113AD"/>
    <w:multiLevelType w:val="multilevel"/>
    <w:tmpl w:val="0DD4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1C6C42"/>
    <w:multiLevelType w:val="multilevel"/>
    <w:tmpl w:val="E6A8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703B9"/>
    <w:multiLevelType w:val="multilevel"/>
    <w:tmpl w:val="198E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349B1"/>
    <w:multiLevelType w:val="multilevel"/>
    <w:tmpl w:val="C16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CF1D57"/>
    <w:multiLevelType w:val="multilevel"/>
    <w:tmpl w:val="8AD2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31632"/>
    <w:multiLevelType w:val="multilevel"/>
    <w:tmpl w:val="63DE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3D06EA"/>
    <w:multiLevelType w:val="multilevel"/>
    <w:tmpl w:val="D2F2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84015A"/>
    <w:multiLevelType w:val="multilevel"/>
    <w:tmpl w:val="182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33369A"/>
    <w:multiLevelType w:val="multilevel"/>
    <w:tmpl w:val="C266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76343B"/>
    <w:multiLevelType w:val="multilevel"/>
    <w:tmpl w:val="EAD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F37B3"/>
    <w:multiLevelType w:val="multilevel"/>
    <w:tmpl w:val="087A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97D6F"/>
    <w:multiLevelType w:val="multilevel"/>
    <w:tmpl w:val="AC68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2D355E"/>
    <w:multiLevelType w:val="multilevel"/>
    <w:tmpl w:val="2912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0056D"/>
    <w:multiLevelType w:val="multilevel"/>
    <w:tmpl w:val="AE1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67C7A"/>
    <w:multiLevelType w:val="multilevel"/>
    <w:tmpl w:val="5AB6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32269C"/>
    <w:multiLevelType w:val="multilevel"/>
    <w:tmpl w:val="D64C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DB62F7"/>
    <w:multiLevelType w:val="multilevel"/>
    <w:tmpl w:val="DAA0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2257D2"/>
    <w:multiLevelType w:val="multilevel"/>
    <w:tmpl w:val="CE3A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2"/>
  </w:num>
  <w:num w:numId="3">
    <w:abstractNumId w:val="2"/>
  </w:num>
  <w:num w:numId="4">
    <w:abstractNumId w:val="17"/>
  </w:num>
  <w:num w:numId="5">
    <w:abstractNumId w:val="1"/>
  </w:num>
  <w:num w:numId="6">
    <w:abstractNumId w:val="15"/>
  </w:num>
  <w:num w:numId="7">
    <w:abstractNumId w:val="7"/>
  </w:num>
  <w:num w:numId="8">
    <w:abstractNumId w:val="13"/>
  </w:num>
  <w:num w:numId="9">
    <w:abstractNumId w:val="18"/>
  </w:num>
  <w:num w:numId="10">
    <w:abstractNumId w:val="10"/>
  </w:num>
  <w:num w:numId="11">
    <w:abstractNumId w:val="0"/>
  </w:num>
  <w:num w:numId="12">
    <w:abstractNumId w:val="23"/>
  </w:num>
  <w:num w:numId="13">
    <w:abstractNumId w:val="14"/>
  </w:num>
  <w:num w:numId="14">
    <w:abstractNumId w:val="24"/>
  </w:num>
  <w:num w:numId="15">
    <w:abstractNumId w:val="21"/>
  </w:num>
  <w:num w:numId="16">
    <w:abstractNumId w:val="19"/>
  </w:num>
  <w:num w:numId="17">
    <w:abstractNumId w:val="30"/>
  </w:num>
  <w:num w:numId="18">
    <w:abstractNumId w:val="11"/>
  </w:num>
  <w:num w:numId="19">
    <w:abstractNumId w:val="9"/>
  </w:num>
  <w:num w:numId="20">
    <w:abstractNumId w:val="8"/>
  </w:num>
  <w:num w:numId="21">
    <w:abstractNumId w:val="26"/>
  </w:num>
  <w:num w:numId="22">
    <w:abstractNumId w:val="25"/>
  </w:num>
  <w:num w:numId="23">
    <w:abstractNumId w:val="29"/>
  </w:num>
  <w:num w:numId="24">
    <w:abstractNumId w:val="16"/>
  </w:num>
  <w:num w:numId="25">
    <w:abstractNumId w:val="4"/>
  </w:num>
  <w:num w:numId="26">
    <w:abstractNumId w:val="5"/>
  </w:num>
  <w:num w:numId="27">
    <w:abstractNumId w:val="3"/>
  </w:num>
  <w:num w:numId="28">
    <w:abstractNumId w:val="28"/>
  </w:num>
  <w:num w:numId="29">
    <w:abstractNumId w:val="20"/>
  </w:num>
  <w:num w:numId="30">
    <w:abstractNumId w:val="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D2"/>
    <w:rsid w:val="000170C3"/>
    <w:rsid w:val="0002560C"/>
    <w:rsid w:val="0003542B"/>
    <w:rsid w:val="000A140F"/>
    <w:rsid w:val="000C492F"/>
    <w:rsid w:val="000D1CCF"/>
    <w:rsid w:val="00123B52"/>
    <w:rsid w:val="00146894"/>
    <w:rsid w:val="00251936"/>
    <w:rsid w:val="002720A2"/>
    <w:rsid w:val="002F1CDE"/>
    <w:rsid w:val="00304AAB"/>
    <w:rsid w:val="003238A2"/>
    <w:rsid w:val="00331B9F"/>
    <w:rsid w:val="00360BA0"/>
    <w:rsid w:val="00364EEB"/>
    <w:rsid w:val="003A7708"/>
    <w:rsid w:val="003B1861"/>
    <w:rsid w:val="003C339B"/>
    <w:rsid w:val="003F0AAF"/>
    <w:rsid w:val="004478D3"/>
    <w:rsid w:val="00473B88"/>
    <w:rsid w:val="004B0FF6"/>
    <w:rsid w:val="00515B18"/>
    <w:rsid w:val="00541F9A"/>
    <w:rsid w:val="005B7FD4"/>
    <w:rsid w:val="005D2377"/>
    <w:rsid w:val="0062425A"/>
    <w:rsid w:val="0064156C"/>
    <w:rsid w:val="00675148"/>
    <w:rsid w:val="00684CB5"/>
    <w:rsid w:val="00694FE0"/>
    <w:rsid w:val="006C3FF6"/>
    <w:rsid w:val="00724762"/>
    <w:rsid w:val="0073118A"/>
    <w:rsid w:val="00754E62"/>
    <w:rsid w:val="007709BD"/>
    <w:rsid w:val="007761EB"/>
    <w:rsid w:val="00812535"/>
    <w:rsid w:val="008736DE"/>
    <w:rsid w:val="008A3142"/>
    <w:rsid w:val="00907923"/>
    <w:rsid w:val="00951F69"/>
    <w:rsid w:val="009654CC"/>
    <w:rsid w:val="00966293"/>
    <w:rsid w:val="00992F0F"/>
    <w:rsid w:val="009A1EC6"/>
    <w:rsid w:val="009B69E5"/>
    <w:rsid w:val="009C6737"/>
    <w:rsid w:val="00A46B1E"/>
    <w:rsid w:val="00A540B7"/>
    <w:rsid w:val="00A92869"/>
    <w:rsid w:val="00AB0E90"/>
    <w:rsid w:val="00AB7B15"/>
    <w:rsid w:val="00AF78A9"/>
    <w:rsid w:val="00B875D2"/>
    <w:rsid w:val="00BB0FA0"/>
    <w:rsid w:val="00BC4302"/>
    <w:rsid w:val="00BC70B8"/>
    <w:rsid w:val="00BD2328"/>
    <w:rsid w:val="00BF639C"/>
    <w:rsid w:val="00C258D3"/>
    <w:rsid w:val="00C75B87"/>
    <w:rsid w:val="00CA7272"/>
    <w:rsid w:val="00CC783F"/>
    <w:rsid w:val="00CE63C5"/>
    <w:rsid w:val="00D375D4"/>
    <w:rsid w:val="00D5296A"/>
    <w:rsid w:val="00D67580"/>
    <w:rsid w:val="00DC173E"/>
    <w:rsid w:val="00DD5F3E"/>
    <w:rsid w:val="00DD6D07"/>
    <w:rsid w:val="00E0309D"/>
    <w:rsid w:val="00E3446C"/>
    <w:rsid w:val="00E463F4"/>
    <w:rsid w:val="00E61BA8"/>
    <w:rsid w:val="00E824F2"/>
    <w:rsid w:val="00EC06F4"/>
    <w:rsid w:val="00ED101A"/>
    <w:rsid w:val="00EF34CB"/>
    <w:rsid w:val="00F215B2"/>
    <w:rsid w:val="00F356EA"/>
    <w:rsid w:val="00F77092"/>
    <w:rsid w:val="00F83155"/>
    <w:rsid w:val="00FA27AE"/>
    <w:rsid w:val="00FB1EC0"/>
    <w:rsid w:val="00FB6DF4"/>
    <w:rsid w:val="00FD1355"/>
    <w:rsid w:val="00FD6F32"/>
    <w:rsid w:val="00FE18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08F0"/>
  <w15:chartTrackingRefBased/>
  <w15:docId w15:val="{793BF67A-6EFD-4A46-9ECA-3DD1BD09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63C5"/>
    <w:pPr>
      <w:ind w:left="720"/>
      <w:contextualSpacing/>
    </w:pPr>
  </w:style>
  <w:style w:type="character" w:styleId="Forte">
    <w:name w:val="Strong"/>
    <w:basedOn w:val="Fontepargpadro"/>
    <w:uiPriority w:val="22"/>
    <w:qFormat/>
    <w:rsid w:val="00992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7357">
      <w:bodyDiv w:val="1"/>
      <w:marLeft w:val="0"/>
      <w:marRight w:val="0"/>
      <w:marTop w:val="0"/>
      <w:marBottom w:val="0"/>
      <w:divBdr>
        <w:top w:val="none" w:sz="0" w:space="0" w:color="auto"/>
        <w:left w:val="none" w:sz="0" w:space="0" w:color="auto"/>
        <w:bottom w:val="none" w:sz="0" w:space="0" w:color="auto"/>
        <w:right w:val="none" w:sz="0" w:space="0" w:color="auto"/>
      </w:divBdr>
      <w:divsChild>
        <w:div w:id="817571049">
          <w:marLeft w:val="0"/>
          <w:marRight w:val="0"/>
          <w:marTop w:val="0"/>
          <w:marBottom w:val="0"/>
          <w:divBdr>
            <w:top w:val="none" w:sz="0" w:space="0" w:color="auto"/>
            <w:left w:val="none" w:sz="0" w:space="0" w:color="auto"/>
            <w:bottom w:val="none" w:sz="0" w:space="0" w:color="auto"/>
            <w:right w:val="none" w:sz="0" w:space="0" w:color="auto"/>
          </w:divBdr>
        </w:div>
      </w:divsChild>
    </w:div>
    <w:div w:id="33695266">
      <w:bodyDiv w:val="1"/>
      <w:marLeft w:val="0"/>
      <w:marRight w:val="0"/>
      <w:marTop w:val="0"/>
      <w:marBottom w:val="0"/>
      <w:divBdr>
        <w:top w:val="none" w:sz="0" w:space="0" w:color="auto"/>
        <w:left w:val="none" w:sz="0" w:space="0" w:color="auto"/>
        <w:bottom w:val="none" w:sz="0" w:space="0" w:color="auto"/>
        <w:right w:val="none" w:sz="0" w:space="0" w:color="auto"/>
      </w:divBdr>
      <w:divsChild>
        <w:div w:id="1145318720">
          <w:marLeft w:val="0"/>
          <w:marRight w:val="0"/>
          <w:marTop w:val="0"/>
          <w:marBottom w:val="0"/>
          <w:divBdr>
            <w:top w:val="none" w:sz="0" w:space="0" w:color="auto"/>
            <w:left w:val="none" w:sz="0" w:space="0" w:color="auto"/>
            <w:bottom w:val="none" w:sz="0" w:space="0" w:color="auto"/>
            <w:right w:val="none" w:sz="0" w:space="0" w:color="auto"/>
          </w:divBdr>
        </w:div>
      </w:divsChild>
    </w:div>
    <w:div w:id="98568932">
      <w:bodyDiv w:val="1"/>
      <w:marLeft w:val="0"/>
      <w:marRight w:val="0"/>
      <w:marTop w:val="0"/>
      <w:marBottom w:val="0"/>
      <w:divBdr>
        <w:top w:val="none" w:sz="0" w:space="0" w:color="auto"/>
        <w:left w:val="none" w:sz="0" w:space="0" w:color="auto"/>
        <w:bottom w:val="none" w:sz="0" w:space="0" w:color="auto"/>
        <w:right w:val="none" w:sz="0" w:space="0" w:color="auto"/>
      </w:divBdr>
      <w:divsChild>
        <w:div w:id="934627687">
          <w:marLeft w:val="0"/>
          <w:marRight w:val="0"/>
          <w:marTop w:val="0"/>
          <w:marBottom w:val="0"/>
          <w:divBdr>
            <w:top w:val="none" w:sz="0" w:space="0" w:color="auto"/>
            <w:left w:val="none" w:sz="0" w:space="0" w:color="auto"/>
            <w:bottom w:val="none" w:sz="0" w:space="0" w:color="auto"/>
            <w:right w:val="none" w:sz="0" w:space="0" w:color="auto"/>
          </w:divBdr>
        </w:div>
      </w:divsChild>
    </w:div>
    <w:div w:id="192767885">
      <w:bodyDiv w:val="1"/>
      <w:marLeft w:val="0"/>
      <w:marRight w:val="0"/>
      <w:marTop w:val="0"/>
      <w:marBottom w:val="0"/>
      <w:divBdr>
        <w:top w:val="none" w:sz="0" w:space="0" w:color="auto"/>
        <w:left w:val="none" w:sz="0" w:space="0" w:color="auto"/>
        <w:bottom w:val="none" w:sz="0" w:space="0" w:color="auto"/>
        <w:right w:val="none" w:sz="0" w:space="0" w:color="auto"/>
      </w:divBdr>
      <w:divsChild>
        <w:div w:id="2006323348">
          <w:marLeft w:val="0"/>
          <w:marRight w:val="0"/>
          <w:marTop w:val="0"/>
          <w:marBottom w:val="0"/>
          <w:divBdr>
            <w:top w:val="none" w:sz="0" w:space="0" w:color="auto"/>
            <w:left w:val="none" w:sz="0" w:space="0" w:color="auto"/>
            <w:bottom w:val="none" w:sz="0" w:space="0" w:color="auto"/>
            <w:right w:val="none" w:sz="0" w:space="0" w:color="auto"/>
          </w:divBdr>
        </w:div>
      </w:divsChild>
    </w:div>
    <w:div w:id="368144532">
      <w:bodyDiv w:val="1"/>
      <w:marLeft w:val="0"/>
      <w:marRight w:val="0"/>
      <w:marTop w:val="0"/>
      <w:marBottom w:val="0"/>
      <w:divBdr>
        <w:top w:val="none" w:sz="0" w:space="0" w:color="auto"/>
        <w:left w:val="none" w:sz="0" w:space="0" w:color="auto"/>
        <w:bottom w:val="none" w:sz="0" w:space="0" w:color="auto"/>
        <w:right w:val="none" w:sz="0" w:space="0" w:color="auto"/>
      </w:divBdr>
      <w:divsChild>
        <w:div w:id="1623269782">
          <w:marLeft w:val="0"/>
          <w:marRight w:val="0"/>
          <w:marTop w:val="0"/>
          <w:marBottom w:val="0"/>
          <w:divBdr>
            <w:top w:val="none" w:sz="0" w:space="0" w:color="auto"/>
            <w:left w:val="none" w:sz="0" w:space="0" w:color="auto"/>
            <w:bottom w:val="none" w:sz="0" w:space="0" w:color="auto"/>
            <w:right w:val="none" w:sz="0" w:space="0" w:color="auto"/>
          </w:divBdr>
        </w:div>
      </w:divsChild>
    </w:div>
    <w:div w:id="368528491">
      <w:bodyDiv w:val="1"/>
      <w:marLeft w:val="0"/>
      <w:marRight w:val="0"/>
      <w:marTop w:val="0"/>
      <w:marBottom w:val="0"/>
      <w:divBdr>
        <w:top w:val="none" w:sz="0" w:space="0" w:color="auto"/>
        <w:left w:val="none" w:sz="0" w:space="0" w:color="auto"/>
        <w:bottom w:val="none" w:sz="0" w:space="0" w:color="auto"/>
        <w:right w:val="none" w:sz="0" w:space="0" w:color="auto"/>
      </w:divBdr>
      <w:divsChild>
        <w:div w:id="1298948534">
          <w:marLeft w:val="0"/>
          <w:marRight w:val="0"/>
          <w:marTop w:val="0"/>
          <w:marBottom w:val="0"/>
          <w:divBdr>
            <w:top w:val="none" w:sz="0" w:space="0" w:color="auto"/>
            <w:left w:val="none" w:sz="0" w:space="0" w:color="auto"/>
            <w:bottom w:val="none" w:sz="0" w:space="0" w:color="auto"/>
            <w:right w:val="none" w:sz="0" w:space="0" w:color="auto"/>
          </w:divBdr>
        </w:div>
      </w:divsChild>
    </w:div>
    <w:div w:id="442504499">
      <w:bodyDiv w:val="1"/>
      <w:marLeft w:val="0"/>
      <w:marRight w:val="0"/>
      <w:marTop w:val="0"/>
      <w:marBottom w:val="0"/>
      <w:divBdr>
        <w:top w:val="none" w:sz="0" w:space="0" w:color="auto"/>
        <w:left w:val="none" w:sz="0" w:space="0" w:color="auto"/>
        <w:bottom w:val="none" w:sz="0" w:space="0" w:color="auto"/>
        <w:right w:val="none" w:sz="0" w:space="0" w:color="auto"/>
      </w:divBdr>
      <w:divsChild>
        <w:div w:id="721101910">
          <w:marLeft w:val="0"/>
          <w:marRight w:val="0"/>
          <w:marTop w:val="0"/>
          <w:marBottom w:val="0"/>
          <w:divBdr>
            <w:top w:val="none" w:sz="0" w:space="0" w:color="auto"/>
            <w:left w:val="none" w:sz="0" w:space="0" w:color="auto"/>
            <w:bottom w:val="none" w:sz="0" w:space="0" w:color="auto"/>
            <w:right w:val="none" w:sz="0" w:space="0" w:color="auto"/>
          </w:divBdr>
        </w:div>
      </w:divsChild>
    </w:div>
    <w:div w:id="552423296">
      <w:bodyDiv w:val="1"/>
      <w:marLeft w:val="0"/>
      <w:marRight w:val="0"/>
      <w:marTop w:val="0"/>
      <w:marBottom w:val="0"/>
      <w:divBdr>
        <w:top w:val="none" w:sz="0" w:space="0" w:color="auto"/>
        <w:left w:val="none" w:sz="0" w:space="0" w:color="auto"/>
        <w:bottom w:val="none" w:sz="0" w:space="0" w:color="auto"/>
        <w:right w:val="none" w:sz="0" w:space="0" w:color="auto"/>
      </w:divBdr>
      <w:divsChild>
        <w:div w:id="1178302420">
          <w:marLeft w:val="0"/>
          <w:marRight w:val="0"/>
          <w:marTop w:val="0"/>
          <w:marBottom w:val="0"/>
          <w:divBdr>
            <w:top w:val="none" w:sz="0" w:space="0" w:color="auto"/>
            <w:left w:val="none" w:sz="0" w:space="0" w:color="auto"/>
            <w:bottom w:val="none" w:sz="0" w:space="0" w:color="auto"/>
            <w:right w:val="none" w:sz="0" w:space="0" w:color="auto"/>
          </w:divBdr>
        </w:div>
      </w:divsChild>
    </w:div>
    <w:div w:id="611477731">
      <w:bodyDiv w:val="1"/>
      <w:marLeft w:val="0"/>
      <w:marRight w:val="0"/>
      <w:marTop w:val="0"/>
      <w:marBottom w:val="0"/>
      <w:divBdr>
        <w:top w:val="none" w:sz="0" w:space="0" w:color="auto"/>
        <w:left w:val="none" w:sz="0" w:space="0" w:color="auto"/>
        <w:bottom w:val="none" w:sz="0" w:space="0" w:color="auto"/>
        <w:right w:val="none" w:sz="0" w:space="0" w:color="auto"/>
      </w:divBdr>
      <w:divsChild>
        <w:div w:id="512114106">
          <w:marLeft w:val="0"/>
          <w:marRight w:val="0"/>
          <w:marTop w:val="0"/>
          <w:marBottom w:val="0"/>
          <w:divBdr>
            <w:top w:val="none" w:sz="0" w:space="0" w:color="auto"/>
            <w:left w:val="none" w:sz="0" w:space="0" w:color="auto"/>
            <w:bottom w:val="none" w:sz="0" w:space="0" w:color="auto"/>
            <w:right w:val="none" w:sz="0" w:space="0" w:color="auto"/>
          </w:divBdr>
        </w:div>
      </w:divsChild>
    </w:div>
    <w:div w:id="636687725">
      <w:bodyDiv w:val="1"/>
      <w:marLeft w:val="0"/>
      <w:marRight w:val="0"/>
      <w:marTop w:val="0"/>
      <w:marBottom w:val="0"/>
      <w:divBdr>
        <w:top w:val="none" w:sz="0" w:space="0" w:color="auto"/>
        <w:left w:val="none" w:sz="0" w:space="0" w:color="auto"/>
        <w:bottom w:val="none" w:sz="0" w:space="0" w:color="auto"/>
        <w:right w:val="none" w:sz="0" w:space="0" w:color="auto"/>
      </w:divBdr>
      <w:divsChild>
        <w:div w:id="558826774">
          <w:marLeft w:val="0"/>
          <w:marRight w:val="0"/>
          <w:marTop w:val="0"/>
          <w:marBottom w:val="0"/>
          <w:divBdr>
            <w:top w:val="none" w:sz="0" w:space="0" w:color="auto"/>
            <w:left w:val="none" w:sz="0" w:space="0" w:color="auto"/>
            <w:bottom w:val="none" w:sz="0" w:space="0" w:color="auto"/>
            <w:right w:val="none" w:sz="0" w:space="0" w:color="auto"/>
          </w:divBdr>
        </w:div>
      </w:divsChild>
    </w:div>
    <w:div w:id="643854437">
      <w:bodyDiv w:val="1"/>
      <w:marLeft w:val="0"/>
      <w:marRight w:val="0"/>
      <w:marTop w:val="0"/>
      <w:marBottom w:val="0"/>
      <w:divBdr>
        <w:top w:val="none" w:sz="0" w:space="0" w:color="auto"/>
        <w:left w:val="none" w:sz="0" w:space="0" w:color="auto"/>
        <w:bottom w:val="none" w:sz="0" w:space="0" w:color="auto"/>
        <w:right w:val="none" w:sz="0" w:space="0" w:color="auto"/>
      </w:divBdr>
      <w:divsChild>
        <w:div w:id="1834565544">
          <w:marLeft w:val="0"/>
          <w:marRight w:val="0"/>
          <w:marTop w:val="0"/>
          <w:marBottom w:val="0"/>
          <w:divBdr>
            <w:top w:val="none" w:sz="0" w:space="0" w:color="auto"/>
            <w:left w:val="none" w:sz="0" w:space="0" w:color="auto"/>
            <w:bottom w:val="none" w:sz="0" w:space="0" w:color="auto"/>
            <w:right w:val="none" w:sz="0" w:space="0" w:color="auto"/>
          </w:divBdr>
        </w:div>
      </w:divsChild>
    </w:div>
    <w:div w:id="647251011">
      <w:bodyDiv w:val="1"/>
      <w:marLeft w:val="0"/>
      <w:marRight w:val="0"/>
      <w:marTop w:val="0"/>
      <w:marBottom w:val="0"/>
      <w:divBdr>
        <w:top w:val="none" w:sz="0" w:space="0" w:color="auto"/>
        <w:left w:val="none" w:sz="0" w:space="0" w:color="auto"/>
        <w:bottom w:val="none" w:sz="0" w:space="0" w:color="auto"/>
        <w:right w:val="none" w:sz="0" w:space="0" w:color="auto"/>
      </w:divBdr>
      <w:divsChild>
        <w:div w:id="622928976">
          <w:marLeft w:val="0"/>
          <w:marRight w:val="0"/>
          <w:marTop w:val="0"/>
          <w:marBottom w:val="0"/>
          <w:divBdr>
            <w:top w:val="none" w:sz="0" w:space="0" w:color="auto"/>
            <w:left w:val="none" w:sz="0" w:space="0" w:color="auto"/>
            <w:bottom w:val="none" w:sz="0" w:space="0" w:color="auto"/>
            <w:right w:val="none" w:sz="0" w:space="0" w:color="auto"/>
          </w:divBdr>
        </w:div>
      </w:divsChild>
    </w:div>
    <w:div w:id="708186192">
      <w:bodyDiv w:val="1"/>
      <w:marLeft w:val="0"/>
      <w:marRight w:val="0"/>
      <w:marTop w:val="0"/>
      <w:marBottom w:val="0"/>
      <w:divBdr>
        <w:top w:val="none" w:sz="0" w:space="0" w:color="auto"/>
        <w:left w:val="none" w:sz="0" w:space="0" w:color="auto"/>
        <w:bottom w:val="none" w:sz="0" w:space="0" w:color="auto"/>
        <w:right w:val="none" w:sz="0" w:space="0" w:color="auto"/>
      </w:divBdr>
      <w:divsChild>
        <w:div w:id="535503332">
          <w:marLeft w:val="0"/>
          <w:marRight w:val="0"/>
          <w:marTop w:val="0"/>
          <w:marBottom w:val="0"/>
          <w:divBdr>
            <w:top w:val="none" w:sz="0" w:space="0" w:color="auto"/>
            <w:left w:val="none" w:sz="0" w:space="0" w:color="auto"/>
            <w:bottom w:val="none" w:sz="0" w:space="0" w:color="auto"/>
            <w:right w:val="none" w:sz="0" w:space="0" w:color="auto"/>
          </w:divBdr>
        </w:div>
      </w:divsChild>
    </w:div>
    <w:div w:id="717047486">
      <w:bodyDiv w:val="1"/>
      <w:marLeft w:val="0"/>
      <w:marRight w:val="0"/>
      <w:marTop w:val="0"/>
      <w:marBottom w:val="0"/>
      <w:divBdr>
        <w:top w:val="none" w:sz="0" w:space="0" w:color="auto"/>
        <w:left w:val="none" w:sz="0" w:space="0" w:color="auto"/>
        <w:bottom w:val="none" w:sz="0" w:space="0" w:color="auto"/>
        <w:right w:val="none" w:sz="0" w:space="0" w:color="auto"/>
      </w:divBdr>
      <w:divsChild>
        <w:div w:id="467944150">
          <w:marLeft w:val="0"/>
          <w:marRight w:val="0"/>
          <w:marTop w:val="0"/>
          <w:marBottom w:val="0"/>
          <w:divBdr>
            <w:top w:val="none" w:sz="0" w:space="0" w:color="auto"/>
            <w:left w:val="none" w:sz="0" w:space="0" w:color="auto"/>
            <w:bottom w:val="none" w:sz="0" w:space="0" w:color="auto"/>
            <w:right w:val="none" w:sz="0" w:space="0" w:color="auto"/>
          </w:divBdr>
        </w:div>
      </w:divsChild>
    </w:div>
    <w:div w:id="726034367">
      <w:bodyDiv w:val="1"/>
      <w:marLeft w:val="0"/>
      <w:marRight w:val="0"/>
      <w:marTop w:val="0"/>
      <w:marBottom w:val="0"/>
      <w:divBdr>
        <w:top w:val="none" w:sz="0" w:space="0" w:color="auto"/>
        <w:left w:val="none" w:sz="0" w:space="0" w:color="auto"/>
        <w:bottom w:val="none" w:sz="0" w:space="0" w:color="auto"/>
        <w:right w:val="none" w:sz="0" w:space="0" w:color="auto"/>
      </w:divBdr>
      <w:divsChild>
        <w:div w:id="797141648">
          <w:marLeft w:val="0"/>
          <w:marRight w:val="0"/>
          <w:marTop w:val="0"/>
          <w:marBottom w:val="0"/>
          <w:divBdr>
            <w:top w:val="none" w:sz="0" w:space="0" w:color="auto"/>
            <w:left w:val="none" w:sz="0" w:space="0" w:color="auto"/>
            <w:bottom w:val="none" w:sz="0" w:space="0" w:color="auto"/>
            <w:right w:val="none" w:sz="0" w:space="0" w:color="auto"/>
          </w:divBdr>
        </w:div>
      </w:divsChild>
    </w:div>
    <w:div w:id="740248583">
      <w:bodyDiv w:val="1"/>
      <w:marLeft w:val="0"/>
      <w:marRight w:val="0"/>
      <w:marTop w:val="0"/>
      <w:marBottom w:val="0"/>
      <w:divBdr>
        <w:top w:val="none" w:sz="0" w:space="0" w:color="auto"/>
        <w:left w:val="none" w:sz="0" w:space="0" w:color="auto"/>
        <w:bottom w:val="none" w:sz="0" w:space="0" w:color="auto"/>
        <w:right w:val="none" w:sz="0" w:space="0" w:color="auto"/>
      </w:divBdr>
      <w:divsChild>
        <w:div w:id="1493640663">
          <w:marLeft w:val="0"/>
          <w:marRight w:val="0"/>
          <w:marTop w:val="0"/>
          <w:marBottom w:val="0"/>
          <w:divBdr>
            <w:top w:val="none" w:sz="0" w:space="0" w:color="auto"/>
            <w:left w:val="none" w:sz="0" w:space="0" w:color="auto"/>
            <w:bottom w:val="none" w:sz="0" w:space="0" w:color="auto"/>
            <w:right w:val="none" w:sz="0" w:space="0" w:color="auto"/>
          </w:divBdr>
        </w:div>
      </w:divsChild>
    </w:div>
    <w:div w:id="749694040">
      <w:bodyDiv w:val="1"/>
      <w:marLeft w:val="0"/>
      <w:marRight w:val="0"/>
      <w:marTop w:val="0"/>
      <w:marBottom w:val="0"/>
      <w:divBdr>
        <w:top w:val="none" w:sz="0" w:space="0" w:color="auto"/>
        <w:left w:val="none" w:sz="0" w:space="0" w:color="auto"/>
        <w:bottom w:val="none" w:sz="0" w:space="0" w:color="auto"/>
        <w:right w:val="none" w:sz="0" w:space="0" w:color="auto"/>
      </w:divBdr>
      <w:divsChild>
        <w:div w:id="141627694">
          <w:marLeft w:val="0"/>
          <w:marRight w:val="0"/>
          <w:marTop w:val="0"/>
          <w:marBottom w:val="0"/>
          <w:divBdr>
            <w:top w:val="none" w:sz="0" w:space="0" w:color="auto"/>
            <w:left w:val="none" w:sz="0" w:space="0" w:color="auto"/>
            <w:bottom w:val="none" w:sz="0" w:space="0" w:color="auto"/>
            <w:right w:val="none" w:sz="0" w:space="0" w:color="auto"/>
          </w:divBdr>
        </w:div>
      </w:divsChild>
    </w:div>
    <w:div w:id="850264617">
      <w:bodyDiv w:val="1"/>
      <w:marLeft w:val="0"/>
      <w:marRight w:val="0"/>
      <w:marTop w:val="0"/>
      <w:marBottom w:val="0"/>
      <w:divBdr>
        <w:top w:val="none" w:sz="0" w:space="0" w:color="auto"/>
        <w:left w:val="none" w:sz="0" w:space="0" w:color="auto"/>
        <w:bottom w:val="none" w:sz="0" w:space="0" w:color="auto"/>
        <w:right w:val="none" w:sz="0" w:space="0" w:color="auto"/>
      </w:divBdr>
      <w:divsChild>
        <w:div w:id="1781993541">
          <w:marLeft w:val="0"/>
          <w:marRight w:val="0"/>
          <w:marTop w:val="0"/>
          <w:marBottom w:val="0"/>
          <w:divBdr>
            <w:top w:val="none" w:sz="0" w:space="0" w:color="auto"/>
            <w:left w:val="none" w:sz="0" w:space="0" w:color="auto"/>
            <w:bottom w:val="none" w:sz="0" w:space="0" w:color="auto"/>
            <w:right w:val="none" w:sz="0" w:space="0" w:color="auto"/>
          </w:divBdr>
        </w:div>
      </w:divsChild>
    </w:div>
    <w:div w:id="877817923">
      <w:bodyDiv w:val="1"/>
      <w:marLeft w:val="0"/>
      <w:marRight w:val="0"/>
      <w:marTop w:val="0"/>
      <w:marBottom w:val="0"/>
      <w:divBdr>
        <w:top w:val="none" w:sz="0" w:space="0" w:color="auto"/>
        <w:left w:val="none" w:sz="0" w:space="0" w:color="auto"/>
        <w:bottom w:val="none" w:sz="0" w:space="0" w:color="auto"/>
        <w:right w:val="none" w:sz="0" w:space="0" w:color="auto"/>
      </w:divBdr>
    </w:div>
    <w:div w:id="929242850">
      <w:bodyDiv w:val="1"/>
      <w:marLeft w:val="0"/>
      <w:marRight w:val="0"/>
      <w:marTop w:val="0"/>
      <w:marBottom w:val="0"/>
      <w:divBdr>
        <w:top w:val="none" w:sz="0" w:space="0" w:color="auto"/>
        <w:left w:val="none" w:sz="0" w:space="0" w:color="auto"/>
        <w:bottom w:val="none" w:sz="0" w:space="0" w:color="auto"/>
        <w:right w:val="none" w:sz="0" w:space="0" w:color="auto"/>
      </w:divBdr>
      <w:divsChild>
        <w:div w:id="1447117143">
          <w:marLeft w:val="0"/>
          <w:marRight w:val="0"/>
          <w:marTop w:val="0"/>
          <w:marBottom w:val="0"/>
          <w:divBdr>
            <w:top w:val="none" w:sz="0" w:space="0" w:color="auto"/>
            <w:left w:val="none" w:sz="0" w:space="0" w:color="auto"/>
            <w:bottom w:val="none" w:sz="0" w:space="0" w:color="auto"/>
            <w:right w:val="none" w:sz="0" w:space="0" w:color="auto"/>
          </w:divBdr>
        </w:div>
      </w:divsChild>
    </w:div>
    <w:div w:id="959721533">
      <w:bodyDiv w:val="1"/>
      <w:marLeft w:val="0"/>
      <w:marRight w:val="0"/>
      <w:marTop w:val="0"/>
      <w:marBottom w:val="0"/>
      <w:divBdr>
        <w:top w:val="none" w:sz="0" w:space="0" w:color="auto"/>
        <w:left w:val="none" w:sz="0" w:space="0" w:color="auto"/>
        <w:bottom w:val="none" w:sz="0" w:space="0" w:color="auto"/>
        <w:right w:val="none" w:sz="0" w:space="0" w:color="auto"/>
      </w:divBdr>
      <w:divsChild>
        <w:div w:id="1454522227">
          <w:marLeft w:val="0"/>
          <w:marRight w:val="0"/>
          <w:marTop w:val="0"/>
          <w:marBottom w:val="0"/>
          <w:divBdr>
            <w:top w:val="none" w:sz="0" w:space="0" w:color="auto"/>
            <w:left w:val="none" w:sz="0" w:space="0" w:color="auto"/>
            <w:bottom w:val="none" w:sz="0" w:space="0" w:color="auto"/>
            <w:right w:val="none" w:sz="0" w:space="0" w:color="auto"/>
          </w:divBdr>
        </w:div>
      </w:divsChild>
    </w:div>
    <w:div w:id="1037925698">
      <w:bodyDiv w:val="1"/>
      <w:marLeft w:val="0"/>
      <w:marRight w:val="0"/>
      <w:marTop w:val="0"/>
      <w:marBottom w:val="0"/>
      <w:divBdr>
        <w:top w:val="none" w:sz="0" w:space="0" w:color="auto"/>
        <w:left w:val="none" w:sz="0" w:space="0" w:color="auto"/>
        <w:bottom w:val="none" w:sz="0" w:space="0" w:color="auto"/>
        <w:right w:val="none" w:sz="0" w:space="0" w:color="auto"/>
      </w:divBdr>
      <w:divsChild>
        <w:div w:id="1042680367">
          <w:marLeft w:val="0"/>
          <w:marRight w:val="0"/>
          <w:marTop w:val="0"/>
          <w:marBottom w:val="0"/>
          <w:divBdr>
            <w:top w:val="none" w:sz="0" w:space="0" w:color="auto"/>
            <w:left w:val="none" w:sz="0" w:space="0" w:color="auto"/>
            <w:bottom w:val="none" w:sz="0" w:space="0" w:color="auto"/>
            <w:right w:val="none" w:sz="0" w:space="0" w:color="auto"/>
          </w:divBdr>
        </w:div>
      </w:divsChild>
    </w:div>
    <w:div w:id="1120220935">
      <w:bodyDiv w:val="1"/>
      <w:marLeft w:val="0"/>
      <w:marRight w:val="0"/>
      <w:marTop w:val="0"/>
      <w:marBottom w:val="0"/>
      <w:divBdr>
        <w:top w:val="none" w:sz="0" w:space="0" w:color="auto"/>
        <w:left w:val="none" w:sz="0" w:space="0" w:color="auto"/>
        <w:bottom w:val="none" w:sz="0" w:space="0" w:color="auto"/>
        <w:right w:val="none" w:sz="0" w:space="0" w:color="auto"/>
      </w:divBdr>
      <w:divsChild>
        <w:div w:id="1161241020">
          <w:marLeft w:val="0"/>
          <w:marRight w:val="0"/>
          <w:marTop w:val="0"/>
          <w:marBottom w:val="0"/>
          <w:divBdr>
            <w:top w:val="none" w:sz="0" w:space="0" w:color="auto"/>
            <w:left w:val="none" w:sz="0" w:space="0" w:color="auto"/>
            <w:bottom w:val="none" w:sz="0" w:space="0" w:color="auto"/>
            <w:right w:val="none" w:sz="0" w:space="0" w:color="auto"/>
          </w:divBdr>
        </w:div>
      </w:divsChild>
    </w:div>
    <w:div w:id="1155955641">
      <w:bodyDiv w:val="1"/>
      <w:marLeft w:val="0"/>
      <w:marRight w:val="0"/>
      <w:marTop w:val="0"/>
      <w:marBottom w:val="0"/>
      <w:divBdr>
        <w:top w:val="none" w:sz="0" w:space="0" w:color="auto"/>
        <w:left w:val="none" w:sz="0" w:space="0" w:color="auto"/>
        <w:bottom w:val="none" w:sz="0" w:space="0" w:color="auto"/>
        <w:right w:val="none" w:sz="0" w:space="0" w:color="auto"/>
      </w:divBdr>
      <w:divsChild>
        <w:div w:id="1046873253">
          <w:marLeft w:val="0"/>
          <w:marRight w:val="0"/>
          <w:marTop w:val="0"/>
          <w:marBottom w:val="0"/>
          <w:divBdr>
            <w:top w:val="none" w:sz="0" w:space="0" w:color="auto"/>
            <w:left w:val="none" w:sz="0" w:space="0" w:color="auto"/>
            <w:bottom w:val="none" w:sz="0" w:space="0" w:color="auto"/>
            <w:right w:val="none" w:sz="0" w:space="0" w:color="auto"/>
          </w:divBdr>
        </w:div>
      </w:divsChild>
    </w:div>
    <w:div w:id="1234317269">
      <w:bodyDiv w:val="1"/>
      <w:marLeft w:val="0"/>
      <w:marRight w:val="0"/>
      <w:marTop w:val="0"/>
      <w:marBottom w:val="0"/>
      <w:divBdr>
        <w:top w:val="none" w:sz="0" w:space="0" w:color="auto"/>
        <w:left w:val="none" w:sz="0" w:space="0" w:color="auto"/>
        <w:bottom w:val="none" w:sz="0" w:space="0" w:color="auto"/>
        <w:right w:val="none" w:sz="0" w:space="0" w:color="auto"/>
      </w:divBdr>
      <w:divsChild>
        <w:div w:id="276328264">
          <w:marLeft w:val="0"/>
          <w:marRight w:val="0"/>
          <w:marTop w:val="0"/>
          <w:marBottom w:val="0"/>
          <w:divBdr>
            <w:top w:val="none" w:sz="0" w:space="0" w:color="auto"/>
            <w:left w:val="none" w:sz="0" w:space="0" w:color="auto"/>
            <w:bottom w:val="none" w:sz="0" w:space="0" w:color="auto"/>
            <w:right w:val="none" w:sz="0" w:space="0" w:color="auto"/>
          </w:divBdr>
        </w:div>
      </w:divsChild>
    </w:div>
    <w:div w:id="1248347512">
      <w:bodyDiv w:val="1"/>
      <w:marLeft w:val="0"/>
      <w:marRight w:val="0"/>
      <w:marTop w:val="0"/>
      <w:marBottom w:val="0"/>
      <w:divBdr>
        <w:top w:val="none" w:sz="0" w:space="0" w:color="auto"/>
        <w:left w:val="none" w:sz="0" w:space="0" w:color="auto"/>
        <w:bottom w:val="none" w:sz="0" w:space="0" w:color="auto"/>
        <w:right w:val="none" w:sz="0" w:space="0" w:color="auto"/>
      </w:divBdr>
      <w:divsChild>
        <w:div w:id="102042306">
          <w:marLeft w:val="0"/>
          <w:marRight w:val="0"/>
          <w:marTop w:val="0"/>
          <w:marBottom w:val="0"/>
          <w:divBdr>
            <w:top w:val="none" w:sz="0" w:space="0" w:color="auto"/>
            <w:left w:val="none" w:sz="0" w:space="0" w:color="auto"/>
            <w:bottom w:val="none" w:sz="0" w:space="0" w:color="auto"/>
            <w:right w:val="none" w:sz="0" w:space="0" w:color="auto"/>
          </w:divBdr>
        </w:div>
      </w:divsChild>
    </w:div>
    <w:div w:id="1254587362">
      <w:bodyDiv w:val="1"/>
      <w:marLeft w:val="0"/>
      <w:marRight w:val="0"/>
      <w:marTop w:val="0"/>
      <w:marBottom w:val="0"/>
      <w:divBdr>
        <w:top w:val="none" w:sz="0" w:space="0" w:color="auto"/>
        <w:left w:val="none" w:sz="0" w:space="0" w:color="auto"/>
        <w:bottom w:val="none" w:sz="0" w:space="0" w:color="auto"/>
        <w:right w:val="none" w:sz="0" w:space="0" w:color="auto"/>
      </w:divBdr>
      <w:divsChild>
        <w:div w:id="983125346">
          <w:marLeft w:val="0"/>
          <w:marRight w:val="0"/>
          <w:marTop w:val="0"/>
          <w:marBottom w:val="0"/>
          <w:divBdr>
            <w:top w:val="none" w:sz="0" w:space="0" w:color="auto"/>
            <w:left w:val="none" w:sz="0" w:space="0" w:color="auto"/>
            <w:bottom w:val="none" w:sz="0" w:space="0" w:color="auto"/>
            <w:right w:val="none" w:sz="0" w:space="0" w:color="auto"/>
          </w:divBdr>
        </w:div>
      </w:divsChild>
    </w:div>
    <w:div w:id="1309555306">
      <w:bodyDiv w:val="1"/>
      <w:marLeft w:val="0"/>
      <w:marRight w:val="0"/>
      <w:marTop w:val="0"/>
      <w:marBottom w:val="0"/>
      <w:divBdr>
        <w:top w:val="none" w:sz="0" w:space="0" w:color="auto"/>
        <w:left w:val="none" w:sz="0" w:space="0" w:color="auto"/>
        <w:bottom w:val="none" w:sz="0" w:space="0" w:color="auto"/>
        <w:right w:val="none" w:sz="0" w:space="0" w:color="auto"/>
      </w:divBdr>
      <w:divsChild>
        <w:div w:id="80374246">
          <w:marLeft w:val="0"/>
          <w:marRight w:val="0"/>
          <w:marTop w:val="0"/>
          <w:marBottom w:val="0"/>
          <w:divBdr>
            <w:top w:val="none" w:sz="0" w:space="0" w:color="auto"/>
            <w:left w:val="none" w:sz="0" w:space="0" w:color="auto"/>
            <w:bottom w:val="none" w:sz="0" w:space="0" w:color="auto"/>
            <w:right w:val="none" w:sz="0" w:space="0" w:color="auto"/>
          </w:divBdr>
        </w:div>
      </w:divsChild>
    </w:div>
    <w:div w:id="1337686177">
      <w:bodyDiv w:val="1"/>
      <w:marLeft w:val="0"/>
      <w:marRight w:val="0"/>
      <w:marTop w:val="0"/>
      <w:marBottom w:val="0"/>
      <w:divBdr>
        <w:top w:val="none" w:sz="0" w:space="0" w:color="auto"/>
        <w:left w:val="none" w:sz="0" w:space="0" w:color="auto"/>
        <w:bottom w:val="none" w:sz="0" w:space="0" w:color="auto"/>
        <w:right w:val="none" w:sz="0" w:space="0" w:color="auto"/>
      </w:divBdr>
      <w:divsChild>
        <w:div w:id="1057702812">
          <w:marLeft w:val="0"/>
          <w:marRight w:val="0"/>
          <w:marTop w:val="0"/>
          <w:marBottom w:val="0"/>
          <w:divBdr>
            <w:top w:val="none" w:sz="0" w:space="0" w:color="auto"/>
            <w:left w:val="none" w:sz="0" w:space="0" w:color="auto"/>
            <w:bottom w:val="none" w:sz="0" w:space="0" w:color="auto"/>
            <w:right w:val="none" w:sz="0" w:space="0" w:color="auto"/>
          </w:divBdr>
        </w:div>
      </w:divsChild>
    </w:div>
    <w:div w:id="1380742363">
      <w:bodyDiv w:val="1"/>
      <w:marLeft w:val="0"/>
      <w:marRight w:val="0"/>
      <w:marTop w:val="0"/>
      <w:marBottom w:val="0"/>
      <w:divBdr>
        <w:top w:val="none" w:sz="0" w:space="0" w:color="auto"/>
        <w:left w:val="none" w:sz="0" w:space="0" w:color="auto"/>
        <w:bottom w:val="none" w:sz="0" w:space="0" w:color="auto"/>
        <w:right w:val="none" w:sz="0" w:space="0" w:color="auto"/>
      </w:divBdr>
      <w:divsChild>
        <w:div w:id="2136872920">
          <w:marLeft w:val="0"/>
          <w:marRight w:val="0"/>
          <w:marTop w:val="0"/>
          <w:marBottom w:val="0"/>
          <w:divBdr>
            <w:top w:val="none" w:sz="0" w:space="0" w:color="auto"/>
            <w:left w:val="none" w:sz="0" w:space="0" w:color="auto"/>
            <w:bottom w:val="none" w:sz="0" w:space="0" w:color="auto"/>
            <w:right w:val="none" w:sz="0" w:space="0" w:color="auto"/>
          </w:divBdr>
        </w:div>
      </w:divsChild>
    </w:div>
    <w:div w:id="1381826971">
      <w:bodyDiv w:val="1"/>
      <w:marLeft w:val="0"/>
      <w:marRight w:val="0"/>
      <w:marTop w:val="0"/>
      <w:marBottom w:val="0"/>
      <w:divBdr>
        <w:top w:val="none" w:sz="0" w:space="0" w:color="auto"/>
        <w:left w:val="none" w:sz="0" w:space="0" w:color="auto"/>
        <w:bottom w:val="none" w:sz="0" w:space="0" w:color="auto"/>
        <w:right w:val="none" w:sz="0" w:space="0" w:color="auto"/>
      </w:divBdr>
      <w:divsChild>
        <w:div w:id="1857965754">
          <w:marLeft w:val="0"/>
          <w:marRight w:val="0"/>
          <w:marTop w:val="0"/>
          <w:marBottom w:val="0"/>
          <w:divBdr>
            <w:top w:val="none" w:sz="0" w:space="0" w:color="auto"/>
            <w:left w:val="none" w:sz="0" w:space="0" w:color="auto"/>
            <w:bottom w:val="none" w:sz="0" w:space="0" w:color="auto"/>
            <w:right w:val="none" w:sz="0" w:space="0" w:color="auto"/>
          </w:divBdr>
        </w:div>
      </w:divsChild>
    </w:div>
    <w:div w:id="1464155250">
      <w:bodyDiv w:val="1"/>
      <w:marLeft w:val="0"/>
      <w:marRight w:val="0"/>
      <w:marTop w:val="0"/>
      <w:marBottom w:val="0"/>
      <w:divBdr>
        <w:top w:val="none" w:sz="0" w:space="0" w:color="auto"/>
        <w:left w:val="none" w:sz="0" w:space="0" w:color="auto"/>
        <w:bottom w:val="none" w:sz="0" w:space="0" w:color="auto"/>
        <w:right w:val="none" w:sz="0" w:space="0" w:color="auto"/>
      </w:divBdr>
      <w:divsChild>
        <w:div w:id="413085758">
          <w:marLeft w:val="0"/>
          <w:marRight w:val="0"/>
          <w:marTop w:val="0"/>
          <w:marBottom w:val="0"/>
          <w:divBdr>
            <w:top w:val="none" w:sz="0" w:space="0" w:color="auto"/>
            <w:left w:val="none" w:sz="0" w:space="0" w:color="auto"/>
            <w:bottom w:val="none" w:sz="0" w:space="0" w:color="auto"/>
            <w:right w:val="none" w:sz="0" w:space="0" w:color="auto"/>
          </w:divBdr>
        </w:div>
      </w:divsChild>
    </w:div>
    <w:div w:id="1652320163">
      <w:bodyDiv w:val="1"/>
      <w:marLeft w:val="0"/>
      <w:marRight w:val="0"/>
      <w:marTop w:val="0"/>
      <w:marBottom w:val="0"/>
      <w:divBdr>
        <w:top w:val="none" w:sz="0" w:space="0" w:color="auto"/>
        <w:left w:val="none" w:sz="0" w:space="0" w:color="auto"/>
        <w:bottom w:val="none" w:sz="0" w:space="0" w:color="auto"/>
        <w:right w:val="none" w:sz="0" w:space="0" w:color="auto"/>
      </w:divBdr>
      <w:divsChild>
        <w:div w:id="749815435">
          <w:marLeft w:val="0"/>
          <w:marRight w:val="0"/>
          <w:marTop w:val="0"/>
          <w:marBottom w:val="0"/>
          <w:divBdr>
            <w:top w:val="none" w:sz="0" w:space="0" w:color="auto"/>
            <w:left w:val="none" w:sz="0" w:space="0" w:color="auto"/>
            <w:bottom w:val="none" w:sz="0" w:space="0" w:color="auto"/>
            <w:right w:val="none" w:sz="0" w:space="0" w:color="auto"/>
          </w:divBdr>
        </w:div>
      </w:divsChild>
    </w:div>
    <w:div w:id="1671180716">
      <w:bodyDiv w:val="1"/>
      <w:marLeft w:val="0"/>
      <w:marRight w:val="0"/>
      <w:marTop w:val="0"/>
      <w:marBottom w:val="0"/>
      <w:divBdr>
        <w:top w:val="none" w:sz="0" w:space="0" w:color="auto"/>
        <w:left w:val="none" w:sz="0" w:space="0" w:color="auto"/>
        <w:bottom w:val="none" w:sz="0" w:space="0" w:color="auto"/>
        <w:right w:val="none" w:sz="0" w:space="0" w:color="auto"/>
      </w:divBdr>
    </w:div>
    <w:div w:id="1676610100">
      <w:bodyDiv w:val="1"/>
      <w:marLeft w:val="0"/>
      <w:marRight w:val="0"/>
      <w:marTop w:val="0"/>
      <w:marBottom w:val="0"/>
      <w:divBdr>
        <w:top w:val="none" w:sz="0" w:space="0" w:color="auto"/>
        <w:left w:val="none" w:sz="0" w:space="0" w:color="auto"/>
        <w:bottom w:val="none" w:sz="0" w:space="0" w:color="auto"/>
        <w:right w:val="none" w:sz="0" w:space="0" w:color="auto"/>
      </w:divBdr>
      <w:divsChild>
        <w:div w:id="1939941992">
          <w:marLeft w:val="0"/>
          <w:marRight w:val="0"/>
          <w:marTop w:val="0"/>
          <w:marBottom w:val="0"/>
          <w:divBdr>
            <w:top w:val="none" w:sz="0" w:space="0" w:color="auto"/>
            <w:left w:val="none" w:sz="0" w:space="0" w:color="auto"/>
            <w:bottom w:val="none" w:sz="0" w:space="0" w:color="auto"/>
            <w:right w:val="none" w:sz="0" w:space="0" w:color="auto"/>
          </w:divBdr>
        </w:div>
      </w:divsChild>
    </w:div>
    <w:div w:id="1700936879">
      <w:bodyDiv w:val="1"/>
      <w:marLeft w:val="0"/>
      <w:marRight w:val="0"/>
      <w:marTop w:val="0"/>
      <w:marBottom w:val="0"/>
      <w:divBdr>
        <w:top w:val="none" w:sz="0" w:space="0" w:color="auto"/>
        <w:left w:val="none" w:sz="0" w:space="0" w:color="auto"/>
        <w:bottom w:val="none" w:sz="0" w:space="0" w:color="auto"/>
        <w:right w:val="none" w:sz="0" w:space="0" w:color="auto"/>
      </w:divBdr>
      <w:divsChild>
        <w:div w:id="735056873">
          <w:marLeft w:val="0"/>
          <w:marRight w:val="0"/>
          <w:marTop w:val="0"/>
          <w:marBottom w:val="0"/>
          <w:divBdr>
            <w:top w:val="none" w:sz="0" w:space="0" w:color="auto"/>
            <w:left w:val="none" w:sz="0" w:space="0" w:color="auto"/>
            <w:bottom w:val="none" w:sz="0" w:space="0" w:color="auto"/>
            <w:right w:val="none" w:sz="0" w:space="0" w:color="auto"/>
          </w:divBdr>
        </w:div>
      </w:divsChild>
    </w:div>
    <w:div w:id="1701740276">
      <w:bodyDiv w:val="1"/>
      <w:marLeft w:val="0"/>
      <w:marRight w:val="0"/>
      <w:marTop w:val="0"/>
      <w:marBottom w:val="0"/>
      <w:divBdr>
        <w:top w:val="none" w:sz="0" w:space="0" w:color="auto"/>
        <w:left w:val="none" w:sz="0" w:space="0" w:color="auto"/>
        <w:bottom w:val="none" w:sz="0" w:space="0" w:color="auto"/>
        <w:right w:val="none" w:sz="0" w:space="0" w:color="auto"/>
      </w:divBdr>
      <w:divsChild>
        <w:div w:id="398867559">
          <w:marLeft w:val="0"/>
          <w:marRight w:val="0"/>
          <w:marTop w:val="0"/>
          <w:marBottom w:val="0"/>
          <w:divBdr>
            <w:top w:val="none" w:sz="0" w:space="0" w:color="auto"/>
            <w:left w:val="none" w:sz="0" w:space="0" w:color="auto"/>
            <w:bottom w:val="none" w:sz="0" w:space="0" w:color="auto"/>
            <w:right w:val="none" w:sz="0" w:space="0" w:color="auto"/>
          </w:divBdr>
        </w:div>
      </w:divsChild>
    </w:div>
    <w:div w:id="1773014104">
      <w:bodyDiv w:val="1"/>
      <w:marLeft w:val="0"/>
      <w:marRight w:val="0"/>
      <w:marTop w:val="0"/>
      <w:marBottom w:val="0"/>
      <w:divBdr>
        <w:top w:val="none" w:sz="0" w:space="0" w:color="auto"/>
        <w:left w:val="none" w:sz="0" w:space="0" w:color="auto"/>
        <w:bottom w:val="none" w:sz="0" w:space="0" w:color="auto"/>
        <w:right w:val="none" w:sz="0" w:space="0" w:color="auto"/>
      </w:divBdr>
      <w:divsChild>
        <w:div w:id="1817991200">
          <w:marLeft w:val="0"/>
          <w:marRight w:val="0"/>
          <w:marTop w:val="0"/>
          <w:marBottom w:val="0"/>
          <w:divBdr>
            <w:top w:val="none" w:sz="0" w:space="0" w:color="auto"/>
            <w:left w:val="none" w:sz="0" w:space="0" w:color="auto"/>
            <w:bottom w:val="none" w:sz="0" w:space="0" w:color="auto"/>
            <w:right w:val="none" w:sz="0" w:space="0" w:color="auto"/>
          </w:divBdr>
        </w:div>
      </w:divsChild>
    </w:div>
    <w:div w:id="1789200563">
      <w:bodyDiv w:val="1"/>
      <w:marLeft w:val="0"/>
      <w:marRight w:val="0"/>
      <w:marTop w:val="0"/>
      <w:marBottom w:val="0"/>
      <w:divBdr>
        <w:top w:val="none" w:sz="0" w:space="0" w:color="auto"/>
        <w:left w:val="none" w:sz="0" w:space="0" w:color="auto"/>
        <w:bottom w:val="none" w:sz="0" w:space="0" w:color="auto"/>
        <w:right w:val="none" w:sz="0" w:space="0" w:color="auto"/>
      </w:divBdr>
      <w:divsChild>
        <w:div w:id="1088388941">
          <w:marLeft w:val="0"/>
          <w:marRight w:val="0"/>
          <w:marTop w:val="0"/>
          <w:marBottom w:val="0"/>
          <w:divBdr>
            <w:top w:val="none" w:sz="0" w:space="0" w:color="auto"/>
            <w:left w:val="none" w:sz="0" w:space="0" w:color="auto"/>
            <w:bottom w:val="none" w:sz="0" w:space="0" w:color="auto"/>
            <w:right w:val="none" w:sz="0" w:space="0" w:color="auto"/>
          </w:divBdr>
        </w:div>
      </w:divsChild>
    </w:div>
    <w:div w:id="1806853961">
      <w:bodyDiv w:val="1"/>
      <w:marLeft w:val="0"/>
      <w:marRight w:val="0"/>
      <w:marTop w:val="0"/>
      <w:marBottom w:val="0"/>
      <w:divBdr>
        <w:top w:val="none" w:sz="0" w:space="0" w:color="auto"/>
        <w:left w:val="none" w:sz="0" w:space="0" w:color="auto"/>
        <w:bottom w:val="none" w:sz="0" w:space="0" w:color="auto"/>
        <w:right w:val="none" w:sz="0" w:space="0" w:color="auto"/>
      </w:divBdr>
      <w:divsChild>
        <w:div w:id="176504255">
          <w:marLeft w:val="0"/>
          <w:marRight w:val="0"/>
          <w:marTop w:val="0"/>
          <w:marBottom w:val="0"/>
          <w:divBdr>
            <w:top w:val="none" w:sz="0" w:space="0" w:color="auto"/>
            <w:left w:val="none" w:sz="0" w:space="0" w:color="auto"/>
            <w:bottom w:val="none" w:sz="0" w:space="0" w:color="auto"/>
            <w:right w:val="none" w:sz="0" w:space="0" w:color="auto"/>
          </w:divBdr>
        </w:div>
      </w:divsChild>
    </w:div>
    <w:div w:id="1822772451">
      <w:bodyDiv w:val="1"/>
      <w:marLeft w:val="0"/>
      <w:marRight w:val="0"/>
      <w:marTop w:val="0"/>
      <w:marBottom w:val="0"/>
      <w:divBdr>
        <w:top w:val="none" w:sz="0" w:space="0" w:color="auto"/>
        <w:left w:val="none" w:sz="0" w:space="0" w:color="auto"/>
        <w:bottom w:val="none" w:sz="0" w:space="0" w:color="auto"/>
        <w:right w:val="none" w:sz="0" w:space="0" w:color="auto"/>
      </w:divBdr>
      <w:divsChild>
        <w:div w:id="1959680716">
          <w:marLeft w:val="0"/>
          <w:marRight w:val="0"/>
          <w:marTop w:val="0"/>
          <w:marBottom w:val="0"/>
          <w:divBdr>
            <w:top w:val="none" w:sz="0" w:space="0" w:color="auto"/>
            <w:left w:val="none" w:sz="0" w:space="0" w:color="auto"/>
            <w:bottom w:val="none" w:sz="0" w:space="0" w:color="auto"/>
            <w:right w:val="none" w:sz="0" w:space="0" w:color="auto"/>
          </w:divBdr>
        </w:div>
      </w:divsChild>
    </w:div>
    <w:div w:id="1905483140">
      <w:bodyDiv w:val="1"/>
      <w:marLeft w:val="0"/>
      <w:marRight w:val="0"/>
      <w:marTop w:val="0"/>
      <w:marBottom w:val="0"/>
      <w:divBdr>
        <w:top w:val="none" w:sz="0" w:space="0" w:color="auto"/>
        <w:left w:val="none" w:sz="0" w:space="0" w:color="auto"/>
        <w:bottom w:val="none" w:sz="0" w:space="0" w:color="auto"/>
        <w:right w:val="none" w:sz="0" w:space="0" w:color="auto"/>
      </w:divBdr>
      <w:divsChild>
        <w:div w:id="1729962720">
          <w:marLeft w:val="0"/>
          <w:marRight w:val="0"/>
          <w:marTop w:val="0"/>
          <w:marBottom w:val="0"/>
          <w:divBdr>
            <w:top w:val="none" w:sz="0" w:space="0" w:color="auto"/>
            <w:left w:val="none" w:sz="0" w:space="0" w:color="auto"/>
            <w:bottom w:val="none" w:sz="0" w:space="0" w:color="auto"/>
            <w:right w:val="none" w:sz="0" w:space="0" w:color="auto"/>
          </w:divBdr>
        </w:div>
      </w:divsChild>
    </w:div>
    <w:div w:id="1919249333">
      <w:bodyDiv w:val="1"/>
      <w:marLeft w:val="0"/>
      <w:marRight w:val="0"/>
      <w:marTop w:val="0"/>
      <w:marBottom w:val="0"/>
      <w:divBdr>
        <w:top w:val="none" w:sz="0" w:space="0" w:color="auto"/>
        <w:left w:val="none" w:sz="0" w:space="0" w:color="auto"/>
        <w:bottom w:val="none" w:sz="0" w:space="0" w:color="auto"/>
        <w:right w:val="none" w:sz="0" w:space="0" w:color="auto"/>
      </w:divBdr>
      <w:divsChild>
        <w:div w:id="1540783159">
          <w:marLeft w:val="0"/>
          <w:marRight w:val="0"/>
          <w:marTop w:val="0"/>
          <w:marBottom w:val="0"/>
          <w:divBdr>
            <w:top w:val="none" w:sz="0" w:space="0" w:color="auto"/>
            <w:left w:val="none" w:sz="0" w:space="0" w:color="auto"/>
            <w:bottom w:val="none" w:sz="0" w:space="0" w:color="auto"/>
            <w:right w:val="none" w:sz="0" w:space="0" w:color="auto"/>
          </w:divBdr>
        </w:div>
      </w:divsChild>
    </w:div>
    <w:div w:id="1927304347">
      <w:bodyDiv w:val="1"/>
      <w:marLeft w:val="0"/>
      <w:marRight w:val="0"/>
      <w:marTop w:val="0"/>
      <w:marBottom w:val="0"/>
      <w:divBdr>
        <w:top w:val="none" w:sz="0" w:space="0" w:color="auto"/>
        <w:left w:val="none" w:sz="0" w:space="0" w:color="auto"/>
        <w:bottom w:val="none" w:sz="0" w:space="0" w:color="auto"/>
        <w:right w:val="none" w:sz="0" w:space="0" w:color="auto"/>
      </w:divBdr>
      <w:divsChild>
        <w:div w:id="1078598951">
          <w:marLeft w:val="0"/>
          <w:marRight w:val="0"/>
          <w:marTop w:val="0"/>
          <w:marBottom w:val="0"/>
          <w:divBdr>
            <w:top w:val="none" w:sz="0" w:space="0" w:color="auto"/>
            <w:left w:val="none" w:sz="0" w:space="0" w:color="auto"/>
            <w:bottom w:val="none" w:sz="0" w:space="0" w:color="auto"/>
            <w:right w:val="none" w:sz="0" w:space="0" w:color="auto"/>
          </w:divBdr>
        </w:div>
      </w:divsChild>
    </w:div>
    <w:div w:id="1942714004">
      <w:bodyDiv w:val="1"/>
      <w:marLeft w:val="0"/>
      <w:marRight w:val="0"/>
      <w:marTop w:val="0"/>
      <w:marBottom w:val="0"/>
      <w:divBdr>
        <w:top w:val="none" w:sz="0" w:space="0" w:color="auto"/>
        <w:left w:val="none" w:sz="0" w:space="0" w:color="auto"/>
        <w:bottom w:val="none" w:sz="0" w:space="0" w:color="auto"/>
        <w:right w:val="none" w:sz="0" w:space="0" w:color="auto"/>
      </w:divBdr>
      <w:divsChild>
        <w:div w:id="1280378450">
          <w:marLeft w:val="0"/>
          <w:marRight w:val="0"/>
          <w:marTop w:val="0"/>
          <w:marBottom w:val="0"/>
          <w:divBdr>
            <w:top w:val="none" w:sz="0" w:space="0" w:color="auto"/>
            <w:left w:val="none" w:sz="0" w:space="0" w:color="auto"/>
            <w:bottom w:val="none" w:sz="0" w:space="0" w:color="auto"/>
            <w:right w:val="none" w:sz="0" w:space="0" w:color="auto"/>
          </w:divBdr>
        </w:div>
      </w:divsChild>
    </w:div>
    <w:div w:id="1952784855">
      <w:bodyDiv w:val="1"/>
      <w:marLeft w:val="0"/>
      <w:marRight w:val="0"/>
      <w:marTop w:val="0"/>
      <w:marBottom w:val="0"/>
      <w:divBdr>
        <w:top w:val="none" w:sz="0" w:space="0" w:color="auto"/>
        <w:left w:val="none" w:sz="0" w:space="0" w:color="auto"/>
        <w:bottom w:val="none" w:sz="0" w:space="0" w:color="auto"/>
        <w:right w:val="none" w:sz="0" w:space="0" w:color="auto"/>
      </w:divBdr>
      <w:divsChild>
        <w:div w:id="1742634666">
          <w:marLeft w:val="0"/>
          <w:marRight w:val="0"/>
          <w:marTop w:val="0"/>
          <w:marBottom w:val="0"/>
          <w:divBdr>
            <w:top w:val="none" w:sz="0" w:space="0" w:color="auto"/>
            <w:left w:val="none" w:sz="0" w:space="0" w:color="auto"/>
            <w:bottom w:val="none" w:sz="0" w:space="0" w:color="auto"/>
            <w:right w:val="none" w:sz="0" w:space="0" w:color="auto"/>
          </w:divBdr>
        </w:div>
      </w:divsChild>
    </w:div>
    <w:div w:id="1979916223">
      <w:bodyDiv w:val="1"/>
      <w:marLeft w:val="0"/>
      <w:marRight w:val="0"/>
      <w:marTop w:val="0"/>
      <w:marBottom w:val="0"/>
      <w:divBdr>
        <w:top w:val="none" w:sz="0" w:space="0" w:color="auto"/>
        <w:left w:val="none" w:sz="0" w:space="0" w:color="auto"/>
        <w:bottom w:val="none" w:sz="0" w:space="0" w:color="auto"/>
        <w:right w:val="none" w:sz="0" w:space="0" w:color="auto"/>
      </w:divBdr>
      <w:divsChild>
        <w:div w:id="2121795691">
          <w:marLeft w:val="0"/>
          <w:marRight w:val="0"/>
          <w:marTop w:val="0"/>
          <w:marBottom w:val="0"/>
          <w:divBdr>
            <w:top w:val="none" w:sz="0" w:space="0" w:color="auto"/>
            <w:left w:val="none" w:sz="0" w:space="0" w:color="auto"/>
            <w:bottom w:val="none" w:sz="0" w:space="0" w:color="auto"/>
            <w:right w:val="none" w:sz="0" w:space="0" w:color="auto"/>
          </w:divBdr>
        </w:div>
      </w:divsChild>
    </w:div>
    <w:div w:id="2060086796">
      <w:bodyDiv w:val="1"/>
      <w:marLeft w:val="0"/>
      <w:marRight w:val="0"/>
      <w:marTop w:val="0"/>
      <w:marBottom w:val="0"/>
      <w:divBdr>
        <w:top w:val="none" w:sz="0" w:space="0" w:color="auto"/>
        <w:left w:val="none" w:sz="0" w:space="0" w:color="auto"/>
        <w:bottom w:val="none" w:sz="0" w:space="0" w:color="auto"/>
        <w:right w:val="none" w:sz="0" w:space="0" w:color="auto"/>
      </w:divBdr>
      <w:divsChild>
        <w:div w:id="1851796826">
          <w:marLeft w:val="0"/>
          <w:marRight w:val="0"/>
          <w:marTop w:val="0"/>
          <w:marBottom w:val="0"/>
          <w:divBdr>
            <w:top w:val="none" w:sz="0" w:space="0" w:color="auto"/>
            <w:left w:val="none" w:sz="0" w:space="0" w:color="auto"/>
            <w:bottom w:val="none" w:sz="0" w:space="0" w:color="auto"/>
            <w:right w:val="none" w:sz="0" w:space="0" w:color="auto"/>
          </w:divBdr>
        </w:div>
      </w:divsChild>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sChild>
        <w:div w:id="391540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0FEC2-9C90-4A05-A841-2DC0B740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851</Words>
  <Characters>4599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Maria de Araujo Oliveira</dc:creator>
  <cp:keywords/>
  <dc:description/>
  <cp:lastModifiedBy>Cleunice Soares de Oliveira</cp:lastModifiedBy>
  <cp:revision>20</cp:revision>
  <dcterms:created xsi:type="dcterms:W3CDTF">2025-04-13T20:04:00Z</dcterms:created>
  <dcterms:modified xsi:type="dcterms:W3CDTF">2026-05-29T15:04:00Z</dcterms:modified>
</cp:coreProperties>
</file>