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CF1" w14:textId="5EDCD004" w:rsidR="0079223F" w:rsidRDefault="00E603A3" w:rsidP="00E603A3">
      <w:r>
        <w:rPr>
          <w:noProof/>
        </w:rPr>
        <w:drawing>
          <wp:inline distT="0" distB="0" distL="0" distR="0" wp14:anchorId="77667E1A" wp14:editId="3200AC40">
            <wp:extent cx="8703310" cy="540004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33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F2FA4" w:rsidRPr="00AF2FA4" w14:paraId="32810DD7" w14:textId="77777777" w:rsidTr="00AF2FA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E5F1C7" w14:textId="77777777" w:rsidR="00AF2FA4" w:rsidRPr="00AF2FA4" w:rsidRDefault="00AF2FA4" w:rsidP="00AF2F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F2FA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AF2FA4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5791E03" w14:textId="77777777" w:rsidR="00AF2FA4" w:rsidRPr="00AF2FA4" w:rsidRDefault="00AF2FA4" w:rsidP="00AF2F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F2FA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1BFCC627" w14:textId="77777777" w:rsidR="00AF2FA4" w:rsidRPr="00AF2FA4" w:rsidRDefault="00AF2FA4" w:rsidP="00AF2FA4">
      <w:pPr>
        <w:numPr>
          <w:ilvl w:val="0"/>
          <w:numId w:val="29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AF2FA4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AF2FA4">
        <w:rPr>
          <w:rFonts w:eastAsia="Times New Roman" w:cstheme="minorHAnsi"/>
          <w:color w:val="000000"/>
          <w:lang w:eastAsia="pt-BR"/>
        </w:rPr>
        <w:t xml:space="preserve"> </w:t>
      </w:r>
    </w:p>
    <w:p w14:paraId="041815E2" w14:textId="40E6FE39" w:rsidR="00AF2FA4" w:rsidRPr="00AF2FA4" w:rsidRDefault="00AF2FA4" w:rsidP="00AF2FA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F2FA4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F2FA4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AF2FA4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2B0C355A" w14:textId="77777777" w:rsidR="00AF2FA4" w:rsidRPr="00AF2FA4" w:rsidRDefault="00AF2FA4" w:rsidP="00AF2FA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F2FA4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F2FA4">
        <w:rPr>
          <w:rFonts w:eastAsia="Times New Roman" w:cstheme="minorHAnsi"/>
          <w:color w:val="000000"/>
          <w:lang w:eastAsia="pt-BR"/>
        </w:rPr>
        <w:t xml:space="preserve">Foram </w:t>
      </w:r>
      <w:proofErr w:type="gramStart"/>
      <w:r w:rsidRPr="00AF2FA4">
        <w:rPr>
          <w:rFonts w:eastAsia="Times New Roman" w:cstheme="minorHAnsi"/>
          <w:color w:val="000000"/>
          <w:lang w:eastAsia="pt-BR"/>
        </w:rPr>
        <w:t>cobertos</w:t>
      </w:r>
      <w:proofErr w:type="gramEnd"/>
      <w:r w:rsidRPr="00AF2FA4">
        <w:rPr>
          <w:rFonts w:eastAsia="Times New Roman" w:cstheme="minorHAnsi"/>
          <w:color w:val="000000"/>
          <w:lang w:eastAsia="pt-BR"/>
        </w:rPr>
        <w:t xml:space="preserve"> 11 unidades de processos de RPV Requisitórios de Pequeno Valor, sendo computado cada processo apenas uma vez </w:t>
      </w:r>
      <w:proofErr w:type="spellStart"/>
      <w:r w:rsidRPr="00AF2FA4">
        <w:rPr>
          <w:rFonts w:eastAsia="Times New Roman" w:cstheme="minorHAnsi"/>
          <w:color w:val="000000"/>
          <w:lang w:eastAsia="pt-BR"/>
        </w:rPr>
        <w:t>independente</w:t>
      </w:r>
      <w:proofErr w:type="spellEnd"/>
      <w:r w:rsidRPr="00AF2FA4">
        <w:rPr>
          <w:rFonts w:eastAsia="Times New Roman" w:cstheme="minorHAnsi"/>
          <w:color w:val="000000"/>
          <w:lang w:eastAsia="pt-BR"/>
        </w:rPr>
        <w:t xml:space="preserve"> do número de credores em cada processo. Foram também computadas no bimestre as despesas com honorários advocatícios e patronal.</w:t>
      </w:r>
    </w:p>
    <w:p w14:paraId="58250F34" w14:textId="77777777" w:rsidR="00E603A3" w:rsidRPr="00E603A3" w:rsidRDefault="00E603A3" w:rsidP="00E603A3"/>
    <w:sectPr w:rsidR="00E603A3" w:rsidRPr="00E603A3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C12BD"/>
    <w:multiLevelType w:val="multilevel"/>
    <w:tmpl w:val="21B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32AC"/>
    <w:multiLevelType w:val="multilevel"/>
    <w:tmpl w:val="821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D7334"/>
    <w:multiLevelType w:val="multilevel"/>
    <w:tmpl w:val="C96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7398D"/>
    <w:multiLevelType w:val="multilevel"/>
    <w:tmpl w:val="0D9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D371C"/>
    <w:multiLevelType w:val="multilevel"/>
    <w:tmpl w:val="F6D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04AA8"/>
    <w:multiLevelType w:val="multilevel"/>
    <w:tmpl w:val="8FB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5"/>
  </w:num>
  <w:num w:numId="4">
    <w:abstractNumId w:val="0"/>
  </w:num>
  <w:num w:numId="5">
    <w:abstractNumId w:val="17"/>
  </w:num>
  <w:num w:numId="6">
    <w:abstractNumId w:val="1"/>
  </w:num>
  <w:num w:numId="7">
    <w:abstractNumId w:val="12"/>
  </w:num>
  <w:num w:numId="8">
    <w:abstractNumId w:val="24"/>
  </w:num>
  <w:num w:numId="9">
    <w:abstractNumId w:val="22"/>
  </w:num>
  <w:num w:numId="10">
    <w:abstractNumId w:val="20"/>
  </w:num>
  <w:num w:numId="11">
    <w:abstractNumId w:val="25"/>
  </w:num>
  <w:num w:numId="12">
    <w:abstractNumId w:val="11"/>
  </w:num>
  <w:num w:numId="13">
    <w:abstractNumId w:val="21"/>
  </w:num>
  <w:num w:numId="14">
    <w:abstractNumId w:val="10"/>
  </w:num>
  <w:num w:numId="15">
    <w:abstractNumId w:val="9"/>
  </w:num>
  <w:num w:numId="16">
    <w:abstractNumId w:val="6"/>
  </w:num>
  <w:num w:numId="17">
    <w:abstractNumId w:val="16"/>
  </w:num>
  <w:num w:numId="18">
    <w:abstractNumId w:val="13"/>
  </w:num>
  <w:num w:numId="19">
    <w:abstractNumId w:val="14"/>
  </w:num>
  <w:num w:numId="20">
    <w:abstractNumId w:val="7"/>
  </w:num>
  <w:num w:numId="21">
    <w:abstractNumId w:val="26"/>
  </w:num>
  <w:num w:numId="22">
    <w:abstractNumId w:val="23"/>
  </w:num>
  <w:num w:numId="23">
    <w:abstractNumId w:val="2"/>
  </w:num>
  <w:num w:numId="24">
    <w:abstractNumId w:val="19"/>
  </w:num>
  <w:num w:numId="25">
    <w:abstractNumId w:val="27"/>
  </w:num>
  <w:num w:numId="26">
    <w:abstractNumId w:val="8"/>
  </w:num>
  <w:num w:numId="27">
    <w:abstractNumId w:val="4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151096"/>
    <w:rsid w:val="001C3749"/>
    <w:rsid w:val="001C448F"/>
    <w:rsid w:val="001D5A32"/>
    <w:rsid w:val="001E5892"/>
    <w:rsid w:val="00213E61"/>
    <w:rsid w:val="002B6E26"/>
    <w:rsid w:val="002F46E4"/>
    <w:rsid w:val="00305B5E"/>
    <w:rsid w:val="00320B75"/>
    <w:rsid w:val="00325962"/>
    <w:rsid w:val="0036530E"/>
    <w:rsid w:val="003E225D"/>
    <w:rsid w:val="00403438"/>
    <w:rsid w:val="0042126F"/>
    <w:rsid w:val="00435386"/>
    <w:rsid w:val="0043753F"/>
    <w:rsid w:val="0047453F"/>
    <w:rsid w:val="004828E7"/>
    <w:rsid w:val="0049625A"/>
    <w:rsid w:val="005D76EA"/>
    <w:rsid w:val="005F575E"/>
    <w:rsid w:val="00610D7E"/>
    <w:rsid w:val="00613B0D"/>
    <w:rsid w:val="00696514"/>
    <w:rsid w:val="00783BE7"/>
    <w:rsid w:val="0079223F"/>
    <w:rsid w:val="007A65B4"/>
    <w:rsid w:val="007B1158"/>
    <w:rsid w:val="007D6F79"/>
    <w:rsid w:val="00825E21"/>
    <w:rsid w:val="00877771"/>
    <w:rsid w:val="008C2E25"/>
    <w:rsid w:val="00901A94"/>
    <w:rsid w:val="00955901"/>
    <w:rsid w:val="009D6E11"/>
    <w:rsid w:val="009E11B1"/>
    <w:rsid w:val="00A04868"/>
    <w:rsid w:val="00A1003B"/>
    <w:rsid w:val="00A361E2"/>
    <w:rsid w:val="00A430C0"/>
    <w:rsid w:val="00A438C5"/>
    <w:rsid w:val="00AC2E28"/>
    <w:rsid w:val="00AD4DBF"/>
    <w:rsid w:val="00AF2FA4"/>
    <w:rsid w:val="00B42D16"/>
    <w:rsid w:val="00B70E6B"/>
    <w:rsid w:val="00B7410F"/>
    <w:rsid w:val="00BF2E48"/>
    <w:rsid w:val="00C60FC3"/>
    <w:rsid w:val="00C8181D"/>
    <w:rsid w:val="00CC783F"/>
    <w:rsid w:val="00CF05C1"/>
    <w:rsid w:val="00D10D50"/>
    <w:rsid w:val="00D22C80"/>
    <w:rsid w:val="00D70FA7"/>
    <w:rsid w:val="00D87300"/>
    <w:rsid w:val="00DF78EF"/>
    <w:rsid w:val="00E603A3"/>
    <w:rsid w:val="00ED25AA"/>
    <w:rsid w:val="00EE47F9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27</cp:revision>
  <dcterms:created xsi:type="dcterms:W3CDTF">2024-04-29T10:36:00Z</dcterms:created>
  <dcterms:modified xsi:type="dcterms:W3CDTF">2026-04-14T11:29:00Z</dcterms:modified>
</cp:coreProperties>
</file>