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5336DB" w14:textId="2CEE9F1F" w:rsidR="00C86AB7" w:rsidRDefault="00B27A51" w:rsidP="00B27A51">
      <w:r>
        <w:rPr>
          <w:noProof/>
        </w:rPr>
        <w:drawing>
          <wp:inline distT="0" distB="0" distL="0" distR="0" wp14:anchorId="284E152F" wp14:editId="43A50647">
            <wp:extent cx="8891270" cy="5466080"/>
            <wp:effectExtent l="0" t="0" r="5080" b="127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8891270" cy="54660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95B2D1F" w14:textId="19DED555" w:rsidR="00B27A51" w:rsidRDefault="00B27A51" w:rsidP="00B27A51"/>
    <w:p w14:paraId="14AAD3E8" w14:textId="78901D55" w:rsidR="00B27A51" w:rsidRDefault="00B27A51" w:rsidP="00B27A51"/>
    <w:tbl>
      <w:tblPr>
        <w:tblW w:w="12750" w:type="dxa"/>
        <w:jc w:val="center"/>
        <w:tblCellSpacing w:w="0" w:type="dxa"/>
        <w:tblCellMar>
          <w:top w:w="10" w:type="dxa"/>
          <w:left w:w="10" w:type="dxa"/>
          <w:bottom w:w="10" w:type="dxa"/>
          <w:right w:w="10" w:type="dxa"/>
        </w:tblCellMar>
        <w:tblLook w:val="04A0" w:firstRow="1" w:lastRow="0" w:firstColumn="1" w:lastColumn="0" w:noHBand="0" w:noVBand="1"/>
      </w:tblPr>
      <w:tblGrid>
        <w:gridCol w:w="11475"/>
        <w:gridCol w:w="1275"/>
      </w:tblGrid>
      <w:tr w:rsidR="00F31EF5" w:rsidRPr="00F31EF5" w14:paraId="23E53CC4" w14:textId="77777777" w:rsidTr="00F31EF5">
        <w:trPr>
          <w:trHeight w:val="250"/>
          <w:tblCellSpacing w:w="0" w:type="dxa"/>
          <w:jc w:val="center"/>
        </w:trPr>
        <w:tc>
          <w:tcPr>
            <w:tcW w:w="4500" w:type="pct"/>
            <w:tcBorders>
              <w:top w:val="nil"/>
              <w:left w:val="nil"/>
              <w:bottom w:val="nil"/>
              <w:right w:val="nil"/>
            </w:tcBorders>
            <w:shd w:val="clear" w:color="auto" w:fill="95B3D7"/>
            <w:vAlign w:val="center"/>
            <w:hideMark/>
          </w:tcPr>
          <w:p w14:paraId="5E5D0CE1" w14:textId="77777777" w:rsidR="00F31EF5" w:rsidRPr="00F31EF5" w:rsidRDefault="00F31EF5" w:rsidP="00F31EF5">
            <w:pPr>
              <w:spacing w:after="0" w:line="240" w:lineRule="auto"/>
              <w:rPr>
                <w:rFonts w:eastAsia="Times New Roman" w:cstheme="minorHAnsi"/>
                <w:color w:val="000000"/>
                <w:lang w:eastAsia="pt-BR"/>
              </w:rPr>
            </w:pPr>
            <w:r w:rsidRPr="00F31EF5">
              <w:rPr>
                <w:rFonts w:eastAsia="Times New Roman" w:cstheme="minorHAnsi"/>
                <w:b/>
                <w:bCs/>
                <w:color w:val="000000"/>
                <w:lang w:eastAsia="pt-BR"/>
              </w:rPr>
              <w:lastRenderedPageBreak/>
              <w:t>Ação: 4237 - CENTRO DE TECIDOS BIOLÓGICOS DE MINAS GERAIS - CETEBIO</w:t>
            </w:r>
            <w:r w:rsidRPr="00F31EF5">
              <w:rPr>
                <w:rFonts w:eastAsia="Times New Roman" w:cstheme="minorHAnsi"/>
                <w:color w:val="000000"/>
                <w:lang w:eastAsia="pt-BR"/>
              </w:rPr>
              <w:t xml:space="preserve"> </w:t>
            </w:r>
          </w:p>
        </w:tc>
        <w:tc>
          <w:tcPr>
            <w:tcW w:w="500" w:type="pct"/>
            <w:tcBorders>
              <w:top w:val="nil"/>
              <w:left w:val="nil"/>
              <w:bottom w:val="nil"/>
              <w:right w:val="nil"/>
            </w:tcBorders>
            <w:shd w:val="clear" w:color="auto" w:fill="95B3D7"/>
            <w:vAlign w:val="center"/>
            <w:hideMark/>
          </w:tcPr>
          <w:p w14:paraId="32C3FD9D" w14:textId="77777777" w:rsidR="00F31EF5" w:rsidRPr="00F31EF5" w:rsidRDefault="00F31EF5" w:rsidP="00F31EF5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t-BR"/>
              </w:rPr>
            </w:pPr>
            <w:r w:rsidRPr="00F31EF5">
              <w:rPr>
                <w:rFonts w:eastAsia="Times New Roman" w:cstheme="minorHAnsi"/>
                <w:b/>
                <w:bCs/>
                <w:color w:val="000000"/>
                <w:lang w:eastAsia="pt-BR"/>
              </w:rPr>
              <w:t>IAG: 0 </w:t>
            </w:r>
          </w:p>
        </w:tc>
      </w:tr>
    </w:tbl>
    <w:p w14:paraId="2C58DEAE" w14:textId="77777777" w:rsidR="00F31EF5" w:rsidRPr="00F31EF5" w:rsidRDefault="00F31EF5" w:rsidP="00F31EF5">
      <w:pPr>
        <w:numPr>
          <w:ilvl w:val="0"/>
          <w:numId w:val="24"/>
        </w:numPr>
        <w:spacing w:before="100" w:beforeAutospacing="1" w:after="240" w:line="240" w:lineRule="auto"/>
        <w:rPr>
          <w:rFonts w:eastAsia="Times New Roman" w:cstheme="minorHAnsi"/>
          <w:color w:val="000000"/>
          <w:lang w:eastAsia="pt-BR"/>
        </w:rPr>
      </w:pPr>
      <w:r w:rsidRPr="00F31EF5">
        <w:rPr>
          <w:rFonts w:eastAsia="Times New Roman" w:cstheme="minorHAnsi"/>
          <w:b/>
          <w:bCs/>
          <w:color w:val="000000"/>
          <w:lang w:eastAsia="pt-BR"/>
        </w:rPr>
        <w:t>Primeiro Bimestre</w:t>
      </w:r>
      <w:r w:rsidRPr="00F31EF5">
        <w:rPr>
          <w:rFonts w:eastAsia="Times New Roman" w:cstheme="minorHAnsi"/>
          <w:color w:val="000000"/>
          <w:lang w:eastAsia="pt-BR"/>
        </w:rPr>
        <w:t xml:space="preserve"> </w:t>
      </w:r>
    </w:p>
    <w:p w14:paraId="68638AE1" w14:textId="77777777" w:rsidR="00F31EF5" w:rsidRPr="00F31EF5" w:rsidRDefault="00F31EF5" w:rsidP="00F31EF5">
      <w:pPr>
        <w:spacing w:before="100" w:beforeAutospacing="1" w:after="100" w:afterAutospacing="1" w:line="240" w:lineRule="auto"/>
        <w:ind w:left="720"/>
        <w:jc w:val="both"/>
        <w:rPr>
          <w:rFonts w:eastAsia="Times New Roman" w:cstheme="minorHAnsi"/>
          <w:color w:val="000000"/>
          <w:lang w:eastAsia="pt-BR"/>
        </w:rPr>
      </w:pPr>
      <w:r w:rsidRPr="00F31EF5">
        <w:rPr>
          <w:rFonts w:eastAsia="Times New Roman" w:cstheme="minorHAnsi"/>
          <w:b/>
          <w:bCs/>
          <w:color w:val="000000"/>
          <w:lang w:eastAsia="pt-BR"/>
        </w:rPr>
        <w:t>Justificativa de Desempenho Jan-</w:t>
      </w:r>
      <w:proofErr w:type="spellStart"/>
      <w:r w:rsidRPr="00F31EF5">
        <w:rPr>
          <w:rFonts w:eastAsia="Times New Roman" w:cstheme="minorHAnsi"/>
          <w:b/>
          <w:bCs/>
          <w:color w:val="000000"/>
          <w:lang w:eastAsia="pt-BR"/>
        </w:rPr>
        <w:t>Fev</w:t>
      </w:r>
      <w:proofErr w:type="spellEnd"/>
      <w:r w:rsidRPr="00F31EF5">
        <w:rPr>
          <w:rFonts w:eastAsia="Times New Roman" w:cstheme="minorHAnsi"/>
          <w:b/>
          <w:bCs/>
          <w:color w:val="000000"/>
          <w:lang w:eastAsia="pt-BR"/>
        </w:rPr>
        <w:t xml:space="preserve">: </w:t>
      </w:r>
    </w:p>
    <w:p w14:paraId="534B84FF" w14:textId="77777777" w:rsidR="00F31EF5" w:rsidRPr="00F31EF5" w:rsidRDefault="00F31EF5" w:rsidP="00F31EF5">
      <w:pPr>
        <w:spacing w:before="100" w:beforeAutospacing="1" w:after="100" w:afterAutospacing="1" w:line="240" w:lineRule="auto"/>
        <w:ind w:left="720"/>
        <w:jc w:val="both"/>
        <w:rPr>
          <w:rFonts w:eastAsia="Times New Roman" w:cstheme="minorHAnsi"/>
          <w:color w:val="000000"/>
          <w:lang w:eastAsia="pt-BR"/>
        </w:rPr>
      </w:pPr>
      <w:r w:rsidRPr="00F31EF5">
        <w:rPr>
          <w:rFonts w:eastAsia="Times New Roman" w:cstheme="minorHAnsi"/>
          <w:b/>
          <w:bCs/>
          <w:color w:val="000000"/>
          <w:lang w:eastAsia="pt-BR"/>
        </w:rPr>
        <w:t xml:space="preserve">Outras informações de situação: </w:t>
      </w:r>
      <w:r w:rsidRPr="00F31EF5">
        <w:rPr>
          <w:rFonts w:eastAsia="Times New Roman" w:cstheme="minorHAnsi"/>
          <w:color w:val="000000"/>
          <w:lang w:eastAsia="pt-BR"/>
        </w:rPr>
        <w:t xml:space="preserve">A programação física do primeiro bimestre de 2025 foi satisfatória, com a realização acumulada até fevereiro atingindo 62 produtos médicos de origem humana processados. A principal entrega foi o atendimento completo às demandas de procedimentos técnicos em terapia celular solicitados ao </w:t>
      </w:r>
      <w:proofErr w:type="spellStart"/>
      <w:r w:rsidRPr="00F31EF5">
        <w:rPr>
          <w:rFonts w:eastAsia="Times New Roman" w:cstheme="minorHAnsi"/>
          <w:color w:val="000000"/>
          <w:lang w:eastAsia="pt-BR"/>
        </w:rPr>
        <w:t>Cetebio</w:t>
      </w:r>
      <w:proofErr w:type="spellEnd"/>
      <w:r w:rsidRPr="00F31EF5">
        <w:rPr>
          <w:rFonts w:eastAsia="Times New Roman" w:cstheme="minorHAnsi"/>
          <w:color w:val="000000"/>
          <w:lang w:eastAsia="pt-BR"/>
        </w:rPr>
        <w:t xml:space="preserve"> pelos Centros Transplantadores, incluindo o processamento (criopreservação, </w:t>
      </w:r>
      <w:proofErr w:type="spellStart"/>
      <w:r w:rsidRPr="00F31EF5">
        <w:rPr>
          <w:rFonts w:eastAsia="Times New Roman" w:cstheme="minorHAnsi"/>
          <w:color w:val="000000"/>
          <w:lang w:eastAsia="pt-BR"/>
        </w:rPr>
        <w:t>deseritrocitação</w:t>
      </w:r>
      <w:proofErr w:type="spellEnd"/>
      <w:r w:rsidRPr="00F31EF5">
        <w:rPr>
          <w:rFonts w:eastAsia="Times New Roman" w:cstheme="minorHAnsi"/>
          <w:color w:val="000000"/>
          <w:lang w:eastAsia="pt-BR"/>
        </w:rPr>
        <w:t xml:space="preserve">, </w:t>
      </w:r>
      <w:proofErr w:type="spellStart"/>
      <w:r w:rsidRPr="00F31EF5">
        <w:rPr>
          <w:rFonts w:eastAsia="Times New Roman" w:cstheme="minorHAnsi"/>
          <w:color w:val="000000"/>
          <w:lang w:eastAsia="pt-BR"/>
        </w:rPr>
        <w:t>desplasmatização</w:t>
      </w:r>
      <w:proofErr w:type="spellEnd"/>
      <w:r w:rsidRPr="00F31EF5">
        <w:rPr>
          <w:rFonts w:eastAsia="Times New Roman" w:cstheme="minorHAnsi"/>
          <w:color w:val="000000"/>
          <w:lang w:eastAsia="pt-BR"/>
        </w:rPr>
        <w:t xml:space="preserve"> e controle de qualidade) de bolsas com células progenitoras </w:t>
      </w:r>
      <w:proofErr w:type="spellStart"/>
      <w:r w:rsidRPr="00F31EF5">
        <w:rPr>
          <w:rFonts w:eastAsia="Times New Roman" w:cstheme="minorHAnsi"/>
          <w:color w:val="000000"/>
          <w:lang w:eastAsia="pt-BR"/>
        </w:rPr>
        <w:t>hematopoéticas</w:t>
      </w:r>
      <w:proofErr w:type="spellEnd"/>
      <w:r w:rsidRPr="00F31EF5">
        <w:rPr>
          <w:rFonts w:eastAsia="Times New Roman" w:cstheme="minorHAnsi"/>
          <w:color w:val="000000"/>
          <w:lang w:eastAsia="pt-BR"/>
        </w:rPr>
        <w:t xml:space="preserve">, provenientes de pacientes ou doadores, para transplante de medula óssea autólogo ou </w:t>
      </w:r>
      <w:proofErr w:type="spellStart"/>
      <w:r w:rsidRPr="00F31EF5">
        <w:rPr>
          <w:rFonts w:eastAsia="Times New Roman" w:cstheme="minorHAnsi"/>
          <w:color w:val="000000"/>
          <w:lang w:eastAsia="pt-BR"/>
        </w:rPr>
        <w:t>alogênico</w:t>
      </w:r>
      <w:proofErr w:type="spellEnd"/>
      <w:r w:rsidRPr="00F31EF5">
        <w:rPr>
          <w:rFonts w:eastAsia="Times New Roman" w:cstheme="minorHAnsi"/>
          <w:color w:val="000000"/>
          <w:lang w:eastAsia="pt-BR"/>
        </w:rPr>
        <w:t xml:space="preserve">. A maior dificuldade foi o atraso no início das operações do banco de soro autólogo e do banco de membrana amniótica. </w:t>
      </w:r>
    </w:p>
    <w:p w14:paraId="4BC22C9B" w14:textId="5C48F1FD" w:rsidR="00B27A51" w:rsidRDefault="005A1FA9" w:rsidP="00B27A51">
      <w:r>
        <w:rPr>
          <w:noProof/>
        </w:rPr>
        <w:lastRenderedPageBreak/>
        <w:drawing>
          <wp:inline distT="0" distB="0" distL="0" distR="0" wp14:anchorId="7EE42907" wp14:editId="18219B21">
            <wp:extent cx="8891270" cy="5528945"/>
            <wp:effectExtent l="0" t="0" r="5080" b="0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8891270" cy="55289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5786F2B" w14:textId="284DB2EB" w:rsidR="005A1FA9" w:rsidRDefault="005A1FA9" w:rsidP="00B27A51"/>
    <w:p w14:paraId="47D5A33C" w14:textId="69E401AC" w:rsidR="005A1FA9" w:rsidRDefault="005A1FA9" w:rsidP="00B27A51"/>
    <w:tbl>
      <w:tblPr>
        <w:tblW w:w="12750" w:type="dxa"/>
        <w:jc w:val="center"/>
        <w:tblCellSpacing w:w="0" w:type="dxa"/>
        <w:tblCellMar>
          <w:top w:w="10" w:type="dxa"/>
          <w:left w:w="10" w:type="dxa"/>
          <w:bottom w:w="10" w:type="dxa"/>
          <w:right w:w="10" w:type="dxa"/>
        </w:tblCellMar>
        <w:tblLook w:val="04A0" w:firstRow="1" w:lastRow="0" w:firstColumn="1" w:lastColumn="0" w:noHBand="0" w:noVBand="1"/>
      </w:tblPr>
      <w:tblGrid>
        <w:gridCol w:w="11475"/>
        <w:gridCol w:w="1275"/>
      </w:tblGrid>
      <w:tr w:rsidR="003772A0" w:rsidRPr="003772A0" w14:paraId="64D17FBF" w14:textId="77777777" w:rsidTr="003772A0">
        <w:trPr>
          <w:trHeight w:val="250"/>
          <w:tblCellSpacing w:w="0" w:type="dxa"/>
          <w:jc w:val="center"/>
        </w:trPr>
        <w:tc>
          <w:tcPr>
            <w:tcW w:w="4500" w:type="pct"/>
            <w:tcBorders>
              <w:top w:val="nil"/>
              <w:left w:val="nil"/>
              <w:bottom w:val="nil"/>
              <w:right w:val="nil"/>
            </w:tcBorders>
            <w:shd w:val="clear" w:color="auto" w:fill="95B3D7"/>
            <w:vAlign w:val="center"/>
            <w:hideMark/>
          </w:tcPr>
          <w:p w14:paraId="44B62DB4" w14:textId="77777777" w:rsidR="003772A0" w:rsidRPr="003772A0" w:rsidRDefault="003772A0" w:rsidP="003772A0">
            <w:pPr>
              <w:spacing w:after="0" w:line="240" w:lineRule="auto"/>
              <w:rPr>
                <w:rFonts w:eastAsia="Times New Roman" w:cstheme="minorHAnsi"/>
                <w:color w:val="000000"/>
                <w:lang w:eastAsia="pt-BR"/>
              </w:rPr>
            </w:pPr>
            <w:r w:rsidRPr="003772A0">
              <w:rPr>
                <w:rFonts w:eastAsia="Times New Roman" w:cstheme="minorHAnsi"/>
                <w:b/>
                <w:bCs/>
                <w:color w:val="000000"/>
                <w:lang w:eastAsia="pt-BR"/>
              </w:rPr>
              <w:lastRenderedPageBreak/>
              <w:t>Ação: 4237 - CENTRO DE TECIDOS BIOLÓGICOS DE MINAS GERAIS - CETEBIO</w:t>
            </w:r>
            <w:r w:rsidRPr="003772A0">
              <w:rPr>
                <w:rFonts w:eastAsia="Times New Roman" w:cstheme="minorHAnsi"/>
                <w:color w:val="000000"/>
                <w:lang w:eastAsia="pt-BR"/>
              </w:rPr>
              <w:t xml:space="preserve"> </w:t>
            </w:r>
          </w:p>
        </w:tc>
        <w:tc>
          <w:tcPr>
            <w:tcW w:w="500" w:type="pct"/>
            <w:tcBorders>
              <w:top w:val="nil"/>
              <w:left w:val="nil"/>
              <w:bottom w:val="nil"/>
              <w:right w:val="nil"/>
            </w:tcBorders>
            <w:shd w:val="clear" w:color="auto" w:fill="95B3D7"/>
            <w:vAlign w:val="center"/>
            <w:hideMark/>
          </w:tcPr>
          <w:p w14:paraId="1C041CCC" w14:textId="77777777" w:rsidR="003772A0" w:rsidRPr="003772A0" w:rsidRDefault="003772A0" w:rsidP="003772A0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t-BR"/>
              </w:rPr>
            </w:pPr>
            <w:r w:rsidRPr="003772A0">
              <w:rPr>
                <w:rFonts w:eastAsia="Times New Roman" w:cstheme="minorHAnsi"/>
                <w:b/>
                <w:bCs/>
                <w:color w:val="000000"/>
                <w:lang w:eastAsia="pt-BR"/>
              </w:rPr>
              <w:t>IAG: 0 </w:t>
            </w:r>
          </w:p>
        </w:tc>
      </w:tr>
    </w:tbl>
    <w:p w14:paraId="541EA0B8" w14:textId="77777777" w:rsidR="003772A0" w:rsidRPr="003772A0" w:rsidRDefault="003772A0" w:rsidP="003772A0">
      <w:pPr>
        <w:numPr>
          <w:ilvl w:val="0"/>
          <w:numId w:val="25"/>
        </w:numPr>
        <w:spacing w:before="100" w:beforeAutospacing="1" w:after="240" w:line="240" w:lineRule="auto"/>
        <w:rPr>
          <w:rFonts w:eastAsia="Times New Roman" w:cstheme="minorHAnsi"/>
          <w:color w:val="000000"/>
          <w:lang w:eastAsia="pt-BR"/>
        </w:rPr>
      </w:pPr>
      <w:r w:rsidRPr="003772A0">
        <w:rPr>
          <w:rFonts w:eastAsia="Times New Roman" w:cstheme="minorHAnsi"/>
          <w:b/>
          <w:bCs/>
          <w:color w:val="000000"/>
          <w:lang w:eastAsia="pt-BR"/>
        </w:rPr>
        <w:t>Segundo Bimestre</w:t>
      </w:r>
      <w:r w:rsidRPr="003772A0">
        <w:rPr>
          <w:rFonts w:eastAsia="Times New Roman" w:cstheme="minorHAnsi"/>
          <w:color w:val="000000"/>
          <w:lang w:eastAsia="pt-BR"/>
        </w:rPr>
        <w:t xml:space="preserve"> </w:t>
      </w:r>
    </w:p>
    <w:p w14:paraId="04FAD9DB" w14:textId="3A997CE4" w:rsidR="003772A0" w:rsidRPr="003772A0" w:rsidRDefault="003772A0" w:rsidP="001676EA">
      <w:pPr>
        <w:spacing w:before="100" w:beforeAutospacing="1" w:after="100" w:afterAutospacing="1" w:line="240" w:lineRule="auto"/>
        <w:ind w:left="720"/>
        <w:jc w:val="both"/>
        <w:rPr>
          <w:rFonts w:eastAsia="Times New Roman" w:cstheme="minorHAnsi"/>
          <w:color w:val="000000"/>
          <w:lang w:eastAsia="pt-BR"/>
        </w:rPr>
      </w:pPr>
      <w:r w:rsidRPr="003772A0">
        <w:rPr>
          <w:rFonts w:eastAsia="Times New Roman" w:cstheme="minorHAnsi"/>
          <w:b/>
          <w:bCs/>
          <w:color w:val="000000"/>
          <w:lang w:eastAsia="pt-BR"/>
        </w:rPr>
        <w:t>Justificativa de Desempenho Jan-</w:t>
      </w:r>
      <w:proofErr w:type="spellStart"/>
      <w:r w:rsidRPr="003772A0">
        <w:rPr>
          <w:rFonts w:eastAsia="Times New Roman" w:cstheme="minorHAnsi"/>
          <w:b/>
          <w:bCs/>
          <w:color w:val="000000"/>
          <w:lang w:eastAsia="pt-BR"/>
        </w:rPr>
        <w:t>Abr</w:t>
      </w:r>
      <w:proofErr w:type="spellEnd"/>
      <w:r w:rsidRPr="003772A0">
        <w:rPr>
          <w:rFonts w:eastAsia="Times New Roman" w:cstheme="minorHAnsi"/>
          <w:b/>
          <w:bCs/>
          <w:color w:val="000000"/>
          <w:lang w:eastAsia="pt-BR"/>
        </w:rPr>
        <w:t xml:space="preserve">: </w:t>
      </w:r>
    </w:p>
    <w:p w14:paraId="268464E7" w14:textId="77777777" w:rsidR="003772A0" w:rsidRPr="003772A0" w:rsidRDefault="003772A0" w:rsidP="003772A0">
      <w:pPr>
        <w:spacing w:before="100" w:beforeAutospacing="1" w:after="100" w:afterAutospacing="1" w:line="240" w:lineRule="auto"/>
        <w:ind w:left="720"/>
        <w:jc w:val="both"/>
        <w:rPr>
          <w:rFonts w:eastAsia="Times New Roman" w:cstheme="minorHAnsi"/>
          <w:color w:val="000000"/>
          <w:lang w:eastAsia="pt-BR"/>
        </w:rPr>
      </w:pPr>
      <w:r w:rsidRPr="003772A0">
        <w:rPr>
          <w:rFonts w:eastAsia="Times New Roman" w:cstheme="minorHAnsi"/>
          <w:b/>
          <w:bCs/>
          <w:color w:val="000000"/>
          <w:lang w:eastAsia="pt-BR"/>
        </w:rPr>
        <w:t xml:space="preserve">Outras informações de situação: </w:t>
      </w:r>
      <w:r w:rsidRPr="003772A0">
        <w:rPr>
          <w:rFonts w:eastAsia="Times New Roman" w:cstheme="minorHAnsi"/>
          <w:color w:val="000000"/>
          <w:lang w:eastAsia="pt-BR"/>
        </w:rPr>
        <w:t xml:space="preserve">A programação física do segundo bimestre de 2025 foi considerada satisfatória, com um total acumulado de 123 produtos médicos de origem humana processados até abril. A execução física no segundo bimestre (61 produtos) foi muito semelhante à do primeiro bimestre (62 produtos), demonstrando estabilidade nas atividades. A principal entrega do período foi o atendimento integral às demandas dos Centros Transplantadores por procedimentos técnicos em terapia celular, realizados pelo </w:t>
      </w:r>
      <w:proofErr w:type="spellStart"/>
      <w:r w:rsidRPr="003772A0">
        <w:rPr>
          <w:rFonts w:eastAsia="Times New Roman" w:cstheme="minorHAnsi"/>
          <w:color w:val="000000"/>
          <w:lang w:eastAsia="pt-BR"/>
        </w:rPr>
        <w:t>Cetebio</w:t>
      </w:r>
      <w:proofErr w:type="spellEnd"/>
      <w:r w:rsidRPr="003772A0">
        <w:rPr>
          <w:rFonts w:eastAsia="Times New Roman" w:cstheme="minorHAnsi"/>
          <w:color w:val="000000"/>
          <w:lang w:eastAsia="pt-BR"/>
        </w:rPr>
        <w:t xml:space="preserve">. Esses procedimentos incluíram o processamento de bolsas contendo células progenitoras </w:t>
      </w:r>
      <w:proofErr w:type="spellStart"/>
      <w:r w:rsidRPr="003772A0">
        <w:rPr>
          <w:rFonts w:eastAsia="Times New Roman" w:cstheme="minorHAnsi"/>
          <w:color w:val="000000"/>
          <w:lang w:eastAsia="pt-BR"/>
        </w:rPr>
        <w:t>hematopoéticas</w:t>
      </w:r>
      <w:proofErr w:type="spellEnd"/>
      <w:r w:rsidRPr="003772A0">
        <w:rPr>
          <w:rFonts w:eastAsia="Times New Roman" w:cstheme="minorHAnsi"/>
          <w:color w:val="000000"/>
          <w:lang w:eastAsia="pt-BR"/>
        </w:rPr>
        <w:t xml:space="preserve"> para transplante de medula óssea, tanto autólogo quanto </w:t>
      </w:r>
      <w:proofErr w:type="spellStart"/>
      <w:r w:rsidRPr="003772A0">
        <w:rPr>
          <w:rFonts w:eastAsia="Times New Roman" w:cstheme="minorHAnsi"/>
          <w:color w:val="000000"/>
          <w:lang w:eastAsia="pt-BR"/>
        </w:rPr>
        <w:t>alogênico</w:t>
      </w:r>
      <w:proofErr w:type="spellEnd"/>
      <w:r w:rsidRPr="003772A0">
        <w:rPr>
          <w:rFonts w:eastAsia="Times New Roman" w:cstheme="minorHAnsi"/>
          <w:color w:val="000000"/>
          <w:lang w:eastAsia="pt-BR"/>
        </w:rPr>
        <w:t xml:space="preserve">, abrangendo procedimentos como criopreservação, </w:t>
      </w:r>
      <w:proofErr w:type="spellStart"/>
      <w:r w:rsidRPr="003772A0">
        <w:rPr>
          <w:rFonts w:eastAsia="Times New Roman" w:cstheme="minorHAnsi"/>
          <w:color w:val="000000"/>
          <w:lang w:eastAsia="pt-BR"/>
        </w:rPr>
        <w:t>deseritrocitação</w:t>
      </w:r>
      <w:proofErr w:type="spellEnd"/>
      <w:r w:rsidRPr="003772A0">
        <w:rPr>
          <w:rFonts w:eastAsia="Times New Roman" w:cstheme="minorHAnsi"/>
          <w:color w:val="000000"/>
          <w:lang w:eastAsia="pt-BR"/>
        </w:rPr>
        <w:t xml:space="preserve">, </w:t>
      </w:r>
      <w:proofErr w:type="spellStart"/>
      <w:r w:rsidRPr="003772A0">
        <w:rPr>
          <w:rFonts w:eastAsia="Times New Roman" w:cstheme="minorHAnsi"/>
          <w:color w:val="000000"/>
          <w:lang w:eastAsia="pt-BR"/>
        </w:rPr>
        <w:t>desplasmatização</w:t>
      </w:r>
      <w:proofErr w:type="spellEnd"/>
      <w:r w:rsidRPr="003772A0">
        <w:rPr>
          <w:rFonts w:eastAsia="Times New Roman" w:cstheme="minorHAnsi"/>
          <w:color w:val="000000"/>
          <w:lang w:eastAsia="pt-BR"/>
        </w:rPr>
        <w:t xml:space="preserve"> e controle de qualidade. A principal dificuldade enfrentada foi o atraso no início das operações do Banco de Soro Autólogo e do Banco de Membrana Amniótica. A previsão é que o Banco de Soro Autólogo entre em operação no próximo bimestre.</w:t>
      </w:r>
    </w:p>
    <w:p w14:paraId="6B210B42" w14:textId="77777777" w:rsidR="005A1FA9" w:rsidRPr="00B27A51" w:rsidRDefault="005A1FA9" w:rsidP="00B27A51"/>
    <w:sectPr w:rsidR="005A1FA9" w:rsidRPr="00B27A51" w:rsidSect="00761C9B">
      <w:pgSz w:w="16838" w:h="11906" w:orient="landscape"/>
      <w:pgMar w:top="1134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32778F"/>
    <w:multiLevelType w:val="multilevel"/>
    <w:tmpl w:val="E6504F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2503CB3"/>
    <w:multiLevelType w:val="multilevel"/>
    <w:tmpl w:val="CD8ACE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2A441FD"/>
    <w:multiLevelType w:val="multilevel"/>
    <w:tmpl w:val="9ECEB1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BAF3D3E"/>
    <w:multiLevelType w:val="multilevel"/>
    <w:tmpl w:val="43B62C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EBD6887"/>
    <w:multiLevelType w:val="multilevel"/>
    <w:tmpl w:val="B7EC8B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61A3938"/>
    <w:multiLevelType w:val="multilevel"/>
    <w:tmpl w:val="B71AFB96"/>
    <w:lvl w:ilvl="0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228"/>
        </w:tabs>
        <w:ind w:left="3228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948"/>
        </w:tabs>
        <w:ind w:left="3948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388"/>
        </w:tabs>
        <w:ind w:left="5388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108"/>
        </w:tabs>
        <w:ind w:left="6108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6BB53BB"/>
    <w:multiLevelType w:val="multilevel"/>
    <w:tmpl w:val="D048E8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F573D7B"/>
    <w:multiLevelType w:val="multilevel"/>
    <w:tmpl w:val="8F0AFA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0D43C06"/>
    <w:multiLevelType w:val="multilevel"/>
    <w:tmpl w:val="DB4EE5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23A6323"/>
    <w:multiLevelType w:val="multilevel"/>
    <w:tmpl w:val="EFDC50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27A0902"/>
    <w:multiLevelType w:val="multilevel"/>
    <w:tmpl w:val="860AA8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BE30920"/>
    <w:multiLevelType w:val="multilevel"/>
    <w:tmpl w:val="A58454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6553E47"/>
    <w:multiLevelType w:val="multilevel"/>
    <w:tmpl w:val="F07444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7BB5F98"/>
    <w:multiLevelType w:val="multilevel"/>
    <w:tmpl w:val="40BE3E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5D1B20B3"/>
    <w:multiLevelType w:val="multilevel"/>
    <w:tmpl w:val="64E070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5EC03267"/>
    <w:multiLevelType w:val="multilevel"/>
    <w:tmpl w:val="BF9A14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6043419A"/>
    <w:multiLevelType w:val="multilevel"/>
    <w:tmpl w:val="E94CA1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628B36CF"/>
    <w:multiLevelType w:val="multilevel"/>
    <w:tmpl w:val="C8226D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62AF170C"/>
    <w:multiLevelType w:val="multilevel"/>
    <w:tmpl w:val="A10013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63B907AA"/>
    <w:multiLevelType w:val="multilevel"/>
    <w:tmpl w:val="58D42C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6EF62912"/>
    <w:multiLevelType w:val="multilevel"/>
    <w:tmpl w:val="8D5696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6FB07995"/>
    <w:multiLevelType w:val="multilevel"/>
    <w:tmpl w:val="592693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70A1321E"/>
    <w:multiLevelType w:val="multilevel"/>
    <w:tmpl w:val="DAE66C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724E5906"/>
    <w:multiLevelType w:val="multilevel"/>
    <w:tmpl w:val="1C7C41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78302775"/>
    <w:multiLevelType w:val="multilevel"/>
    <w:tmpl w:val="DB06EE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20"/>
  </w:num>
  <w:num w:numId="3">
    <w:abstractNumId w:val="8"/>
  </w:num>
  <w:num w:numId="4">
    <w:abstractNumId w:val="10"/>
  </w:num>
  <w:num w:numId="5">
    <w:abstractNumId w:val="6"/>
  </w:num>
  <w:num w:numId="6">
    <w:abstractNumId w:val="13"/>
  </w:num>
  <w:num w:numId="7">
    <w:abstractNumId w:val="1"/>
  </w:num>
  <w:num w:numId="8">
    <w:abstractNumId w:val="21"/>
  </w:num>
  <w:num w:numId="9">
    <w:abstractNumId w:val="18"/>
  </w:num>
  <w:num w:numId="10">
    <w:abstractNumId w:val="11"/>
  </w:num>
  <w:num w:numId="11">
    <w:abstractNumId w:val="15"/>
  </w:num>
  <w:num w:numId="12">
    <w:abstractNumId w:val="17"/>
  </w:num>
  <w:num w:numId="13">
    <w:abstractNumId w:val="5"/>
  </w:num>
  <w:num w:numId="14">
    <w:abstractNumId w:val="2"/>
  </w:num>
  <w:num w:numId="15">
    <w:abstractNumId w:val="19"/>
  </w:num>
  <w:num w:numId="16">
    <w:abstractNumId w:val="16"/>
  </w:num>
  <w:num w:numId="17">
    <w:abstractNumId w:val="24"/>
  </w:num>
  <w:num w:numId="18">
    <w:abstractNumId w:val="3"/>
  </w:num>
  <w:num w:numId="19">
    <w:abstractNumId w:val="14"/>
  </w:num>
  <w:num w:numId="20">
    <w:abstractNumId w:val="0"/>
  </w:num>
  <w:num w:numId="21">
    <w:abstractNumId w:val="4"/>
  </w:num>
  <w:num w:numId="22">
    <w:abstractNumId w:val="22"/>
  </w:num>
  <w:num w:numId="23">
    <w:abstractNumId w:val="9"/>
  </w:num>
  <w:num w:numId="24">
    <w:abstractNumId w:val="23"/>
  </w:num>
  <w:num w:numId="2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61C9B"/>
    <w:rsid w:val="00000DD2"/>
    <w:rsid w:val="000B3EF0"/>
    <w:rsid w:val="000D60C0"/>
    <w:rsid w:val="001574F8"/>
    <w:rsid w:val="001676EA"/>
    <w:rsid w:val="001A033E"/>
    <w:rsid w:val="001E1748"/>
    <w:rsid w:val="002649B7"/>
    <w:rsid w:val="00295C69"/>
    <w:rsid w:val="002B344F"/>
    <w:rsid w:val="002D6CFE"/>
    <w:rsid w:val="002F2CA2"/>
    <w:rsid w:val="002F7B30"/>
    <w:rsid w:val="003772A0"/>
    <w:rsid w:val="00455819"/>
    <w:rsid w:val="0048724E"/>
    <w:rsid w:val="00492585"/>
    <w:rsid w:val="0049751D"/>
    <w:rsid w:val="004F6758"/>
    <w:rsid w:val="00531E10"/>
    <w:rsid w:val="0054072D"/>
    <w:rsid w:val="00567916"/>
    <w:rsid w:val="005A1FA9"/>
    <w:rsid w:val="005E723D"/>
    <w:rsid w:val="00616316"/>
    <w:rsid w:val="006D5245"/>
    <w:rsid w:val="006E1E4F"/>
    <w:rsid w:val="007354FA"/>
    <w:rsid w:val="00761C9B"/>
    <w:rsid w:val="007720FF"/>
    <w:rsid w:val="007872A5"/>
    <w:rsid w:val="007D12C2"/>
    <w:rsid w:val="00804229"/>
    <w:rsid w:val="008473DF"/>
    <w:rsid w:val="00873561"/>
    <w:rsid w:val="00873C31"/>
    <w:rsid w:val="008C6A8E"/>
    <w:rsid w:val="008F3D07"/>
    <w:rsid w:val="00933ABA"/>
    <w:rsid w:val="009B21DB"/>
    <w:rsid w:val="009D2C91"/>
    <w:rsid w:val="009E6969"/>
    <w:rsid w:val="009F7426"/>
    <w:rsid w:val="00A522AA"/>
    <w:rsid w:val="00B06463"/>
    <w:rsid w:val="00B27A51"/>
    <w:rsid w:val="00C261A6"/>
    <w:rsid w:val="00C41B4B"/>
    <w:rsid w:val="00C4642D"/>
    <w:rsid w:val="00C86AB7"/>
    <w:rsid w:val="00CC783F"/>
    <w:rsid w:val="00D96263"/>
    <w:rsid w:val="00DC5633"/>
    <w:rsid w:val="00F31EF5"/>
    <w:rsid w:val="00F805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06A387"/>
  <w15:chartTrackingRefBased/>
  <w15:docId w15:val="{977E76A3-B83E-4953-995B-A3B87BDDB2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Forte">
    <w:name w:val="Strong"/>
    <w:basedOn w:val="Fontepargpadro"/>
    <w:uiPriority w:val="22"/>
    <w:qFormat/>
    <w:rsid w:val="0054072D"/>
    <w:rPr>
      <w:b/>
      <w:bCs/>
    </w:rPr>
  </w:style>
  <w:style w:type="paragraph" w:styleId="PargrafodaLista">
    <w:name w:val="List Paragraph"/>
    <w:basedOn w:val="Normal"/>
    <w:uiPriority w:val="34"/>
    <w:qFormat/>
    <w:rsid w:val="002B344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28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931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76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987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4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1409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139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0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5548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714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280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61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1458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5667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01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655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032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82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415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9790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992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7339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6135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528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314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7579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35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657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59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102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608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47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194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04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57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118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13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93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075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7558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429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342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74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993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719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060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743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3836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108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1316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62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12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9546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877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971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708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4</Pages>
  <Words>315</Words>
  <Characters>1701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Helena Maria de Araujo Oliveira</dc:creator>
  <cp:keywords/>
  <dc:description/>
  <cp:lastModifiedBy>Cleunice Soares de Oliveira</cp:lastModifiedBy>
  <cp:revision>16</cp:revision>
  <dcterms:created xsi:type="dcterms:W3CDTF">2024-04-29T10:29:00Z</dcterms:created>
  <dcterms:modified xsi:type="dcterms:W3CDTF">2025-06-30T14:04:00Z</dcterms:modified>
</cp:coreProperties>
</file>