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A166" w14:textId="77777777" w:rsidR="00325962" w:rsidRDefault="00082639" w:rsidP="00082639">
      <w:r>
        <w:rPr>
          <w:noProof/>
          <w:lang w:eastAsia="pt-BR"/>
        </w:rPr>
        <w:drawing>
          <wp:inline distT="0" distB="0" distL="0" distR="0" wp14:anchorId="1B0A9475" wp14:editId="7FEE0226">
            <wp:extent cx="8820150" cy="6005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824146" cy="6008531"/>
                    </a:xfrm>
                    <a:prstGeom prst="rect">
                      <a:avLst/>
                    </a:prstGeom>
                  </pic:spPr>
                </pic:pic>
              </a:graphicData>
            </a:graphic>
          </wp:inline>
        </w:drawing>
      </w:r>
    </w:p>
    <w:tbl>
      <w:tblPr>
        <w:tblW w:w="12750" w:type="dxa"/>
        <w:jc w:val="center"/>
        <w:tblCellSpacing w:w="0" w:type="dxa"/>
        <w:tblCellMar>
          <w:top w:w="15" w:type="dxa"/>
          <w:left w:w="15" w:type="dxa"/>
          <w:bottom w:w="15" w:type="dxa"/>
          <w:right w:w="15" w:type="dxa"/>
        </w:tblCellMar>
        <w:tblLook w:val="04A0" w:firstRow="1" w:lastRow="0" w:firstColumn="1" w:lastColumn="0" w:noHBand="0" w:noVBand="1"/>
      </w:tblPr>
      <w:tblGrid>
        <w:gridCol w:w="11475"/>
        <w:gridCol w:w="1275"/>
      </w:tblGrid>
      <w:tr w:rsidR="00613B0D" w:rsidRPr="00613B0D" w14:paraId="7EBE22ED" w14:textId="77777777" w:rsidTr="00613B0D">
        <w:trPr>
          <w:trHeight w:val="375"/>
          <w:tblCellSpacing w:w="0" w:type="dxa"/>
          <w:jc w:val="center"/>
        </w:trPr>
        <w:tc>
          <w:tcPr>
            <w:tcW w:w="4500" w:type="pct"/>
            <w:tcBorders>
              <w:top w:val="nil"/>
              <w:left w:val="nil"/>
              <w:bottom w:val="nil"/>
              <w:right w:val="nil"/>
            </w:tcBorders>
            <w:shd w:val="clear" w:color="auto" w:fill="95B3D7"/>
            <w:vAlign w:val="center"/>
            <w:hideMark/>
          </w:tcPr>
          <w:p w14:paraId="1BE189CB" w14:textId="77777777" w:rsidR="00613B0D" w:rsidRPr="00613B0D" w:rsidRDefault="00613B0D" w:rsidP="00613B0D">
            <w:r w:rsidRPr="00613B0D">
              <w:rPr>
                <w:b/>
                <w:bCs/>
              </w:rPr>
              <w:lastRenderedPageBreak/>
              <w:t>Ação: 7004 - PRECATÓRIOS E SENTENÇAS JUDICIÁRIAS</w:t>
            </w:r>
            <w:r w:rsidRPr="00613B0D">
              <w:t xml:space="preserve"> </w:t>
            </w:r>
          </w:p>
        </w:tc>
        <w:tc>
          <w:tcPr>
            <w:tcW w:w="500" w:type="pct"/>
            <w:tcBorders>
              <w:top w:val="nil"/>
              <w:left w:val="nil"/>
              <w:bottom w:val="nil"/>
              <w:right w:val="nil"/>
            </w:tcBorders>
            <w:shd w:val="clear" w:color="auto" w:fill="95B3D7"/>
            <w:vAlign w:val="center"/>
            <w:hideMark/>
          </w:tcPr>
          <w:p w14:paraId="366FEC04" w14:textId="77777777" w:rsidR="00613B0D" w:rsidRPr="00613B0D" w:rsidRDefault="00613B0D" w:rsidP="00613B0D">
            <w:r w:rsidRPr="00613B0D">
              <w:rPr>
                <w:b/>
                <w:bCs/>
              </w:rPr>
              <w:t>IAG: 0 </w:t>
            </w:r>
          </w:p>
        </w:tc>
      </w:tr>
    </w:tbl>
    <w:p w14:paraId="5F4ED741" w14:textId="77777777" w:rsidR="00613B0D" w:rsidRPr="00613B0D" w:rsidRDefault="00613B0D" w:rsidP="00613B0D">
      <w:pPr>
        <w:numPr>
          <w:ilvl w:val="0"/>
          <w:numId w:val="12"/>
        </w:numPr>
      </w:pPr>
      <w:r w:rsidRPr="00613B0D">
        <w:rPr>
          <w:b/>
          <w:bCs/>
        </w:rPr>
        <w:t>Primeiro Bimestre</w:t>
      </w:r>
      <w:r w:rsidRPr="00613B0D">
        <w:t xml:space="preserve"> </w:t>
      </w:r>
    </w:p>
    <w:p w14:paraId="6EA4CDE0" w14:textId="77777777" w:rsidR="00613B0D" w:rsidRPr="00613B0D" w:rsidRDefault="00613B0D" w:rsidP="00613B0D">
      <w:pPr>
        <w:ind w:left="708"/>
      </w:pPr>
      <w:r w:rsidRPr="00613B0D">
        <w:rPr>
          <w:b/>
          <w:bCs/>
        </w:rPr>
        <w:t>Justificativa de Desempenho Jan-</w:t>
      </w:r>
      <w:proofErr w:type="spellStart"/>
      <w:r w:rsidRPr="00613B0D">
        <w:rPr>
          <w:b/>
          <w:bCs/>
        </w:rPr>
        <w:t>Fev</w:t>
      </w:r>
      <w:proofErr w:type="spellEnd"/>
      <w:r w:rsidRPr="00613B0D">
        <w:rPr>
          <w:b/>
          <w:bCs/>
        </w:rPr>
        <w:t xml:space="preserve">: </w:t>
      </w:r>
      <w:r w:rsidRPr="00613B0D">
        <w:t xml:space="preserve">Foi necessário realizar suplementação nesta para viabilizar a cobertura de despesas com pagamento de honorários e a terceiros para empenho/pagamento de processos com vencimento ainda em janeiro, uma vez que despesas do grupo custeio não são estimadas no momento de elaboração/revisão do PPAG. O resultado subestimado tem como causa o mesmo </w:t>
      </w:r>
      <w:r>
        <w:t>motivo: Foram estimada</w:t>
      </w:r>
      <w:r w:rsidRPr="00613B0D">
        <w:t xml:space="preserve">s 11 unidades de precatórios para o </w:t>
      </w:r>
      <w:proofErr w:type="gramStart"/>
      <w:r w:rsidRPr="00613B0D">
        <w:t>ano</w:t>
      </w:r>
      <w:proofErr w:type="gramEnd"/>
      <w:r w:rsidRPr="00613B0D">
        <w:t xml:space="preserve"> mas no primeiro bimestre ocorreu 24 unidades de Requisitórios de Pequeno e estes não são estimados na proposta orçamentária. </w:t>
      </w:r>
    </w:p>
    <w:p w14:paraId="437AEE7B" w14:textId="77777777" w:rsidR="00613B0D" w:rsidRPr="00613B0D" w:rsidRDefault="00613B0D" w:rsidP="00613B0D"/>
    <w:p w14:paraId="5E1BB1EF" w14:textId="77777777" w:rsidR="00613B0D" w:rsidRPr="00613B0D" w:rsidRDefault="00613B0D" w:rsidP="00613B0D">
      <w:pPr>
        <w:ind w:firstLine="708"/>
      </w:pPr>
      <w:r w:rsidRPr="00613B0D">
        <w:rPr>
          <w:b/>
          <w:bCs/>
        </w:rPr>
        <w:t xml:space="preserve">Outras informações de situação: </w:t>
      </w:r>
      <w:r>
        <w:t>Foram coberta</w:t>
      </w:r>
      <w:r w:rsidRPr="00613B0D">
        <w:t>s 24 unidades de processos de Requisitórios de Pequeno valor neste bimestre.</w:t>
      </w:r>
    </w:p>
    <w:p w14:paraId="67860214" w14:textId="38071180" w:rsidR="00082639" w:rsidRDefault="00082639" w:rsidP="00082639"/>
    <w:p w14:paraId="02371DD1" w14:textId="177F84E3" w:rsidR="00320B75" w:rsidRDefault="00320B75" w:rsidP="00082639"/>
    <w:p w14:paraId="1219C785" w14:textId="0207F5A3" w:rsidR="00320B75" w:rsidRDefault="00320B75" w:rsidP="00082639"/>
    <w:p w14:paraId="06672A29" w14:textId="3EC9265D" w:rsidR="00320B75" w:rsidRDefault="00320B75" w:rsidP="00082639"/>
    <w:p w14:paraId="45D1827C" w14:textId="1187AF42" w:rsidR="00320B75" w:rsidRDefault="00320B75" w:rsidP="00082639"/>
    <w:p w14:paraId="1D5B3325" w14:textId="4EC5E6CF" w:rsidR="00320B75" w:rsidRDefault="00320B75" w:rsidP="00082639"/>
    <w:p w14:paraId="19348146" w14:textId="0E500764" w:rsidR="00320B75" w:rsidRDefault="00320B75" w:rsidP="00082639"/>
    <w:p w14:paraId="2F383A35" w14:textId="1B1DC38C" w:rsidR="00320B75" w:rsidRDefault="00320B75" w:rsidP="00082639"/>
    <w:p w14:paraId="5FE37F7D" w14:textId="359ED001" w:rsidR="00320B75" w:rsidRDefault="00320B75" w:rsidP="00082639"/>
    <w:p w14:paraId="289E77ED" w14:textId="626B9676" w:rsidR="00320B75" w:rsidRDefault="00320B75" w:rsidP="00082639"/>
    <w:p w14:paraId="54782520" w14:textId="20352AEC" w:rsidR="00320B75" w:rsidRDefault="00320B75" w:rsidP="00082639"/>
    <w:p w14:paraId="32BC6199" w14:textId="66BE538C" w:rsidR="00320B75" w:rsidRDefault="00320B75" w:rsidP="00082639">
      <w:r>
        <w:rPr>
          <w:noProof/>
        </w:rPr>
        <w:lastRenderedPageBreak/>
        <w:drawing>
          <wp:inline distT="0" distB="0" distL="0" distR="0" wp14:anchorId="22801C17" wp14:editId="27C25EDF">
            <wp:extent cx="8559800" cy="54000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559800" cy="5400040"/>
                    </a:xfrm>
                    <a:prstGeom prst="rect">
                      <a:avLst/>
                    </a:prstGeom>
                  </pic:spPr>
                </pic:pic>
              </a:graphicData>
            </a:graphic>
          </wp:inline>
        </w:drawing>
      </w:r>
    </w:p>
    <w:tbl>
      <w:tblPr>
        <w:tblW w:w="12750" w:type="dxa"/>
        <w:jc w:val="center"/>
        <w:tblCellSpacing w:w="0" w:type="dxa"/>
        <w:tblCellMar>
          <w:top w:w="10" w:type="dxa"/>
          <w:left w:w="10" w:type="dxa"/>
          <w:bottom w:w="10" w:type="dxa"/>
          <w:right w:w="10" w:type="dxa"/>
        </w:tblCellMar>
        <w:tblLook w:val="04A0" w:firstRow="1" w:lastRow="0" w:firstColumn="1" w:lastColumn="0" w:noHBand="0" w:noVBand="1"/>
      </w:tblPr>
      <w:tblGrid>
        <w:gridCol w:w="11475"/>
        <w:gridCol w:w="1275"/>
      </w:tblGrid>
      <w:tr w:rsidR="00CF05C1" w:rsidRPr="00CF05C1" w14:paraId="44710067" w14:textId="77777777" w:rsidTr="00CF05C1">
        <w:trPr>
          <w:trHeight w:val="250"/>
          <w:tblCellSpacing w:w="0" w:type="dxa"/>
          <w:jc w:val="center"/>
        </w:trPr>
        <w:tc>
          <w:tcPr>
            <w:tcW w:w="4500" w:type="pct"/>
            <w:tcBorders>
              <w:top w:val="nil"/>
              <w:left w:val="nil"/>
              <w:bottom w:val="nil"/>
              <w:right w:val="nil"/>
            </w:tcBorders>
            <w:shd w:val="clear" w:color="auto" w:fill="95B3D7"/>
            <w:vAlign w:val="center"/>
            <w:hideMark/>
          </w:tcPr>
          <w:p w14:paraId="60EFC9ED" w14:textId="77777777" w:rsidR="00CF05C1" w:rsidRPr="00CF05C1" w:rsidRDefault="00CF05C1" w:rsidP="00CF05C1">
            <w:pPr>
              <w:spacing w:after="0" w:line="240" w:lineRule="auto"/>
              <w:rPr>
                <w:rFonts w:eastAsia="Times New Roman" w:cstheme="minorHAnsi"/>
                <w:color w:val="000000"/>
                <w:lang w:eastAsia="pt-BR"/>
              </w:rPr>
            </w:pPr>
            <w:r w:rsidRPr="00CF05C1">
              <w:rPr>
                <w:rFonts w:eastAsia="Times New Roman" w:cstheme="minorHAnsi"/>
                <w:b/>
                <w:bCs/>
                <w:color w:val="000000"/>
                <w:lang w:eastAsia="pt-BR"/>
              </w:rPr>
              <w:lastRenderedPageBreak/>
              <w:t>Ação: 7004 - PRECATÓRIOS E SENTENÇAS JUDICIÁRIAS</w:t>
            </w:r>
            <w:r w:rsidRPr="00CF05C1">
              <w:rPr>
                <w:rFonts w:eastAsia="Times New Roman" w:cstheme="minorHAnsi"/>
                <w:color w:val="000000"/>
                <w:lang w:eastAsia="pt-BR"/>
              </w:rPr>
              <w:t xml:space="preserve"> </w:t>
            </w:r>
          </w:p>
        </w:tc>
        <w:tc>
          <w:tcPr>
            <w:tcW w:w="500" w:type="pct"/>
            <w:tcBorders>
              <w:top w:val="nil"/>
              <w:left w:val="nil"/>
              <w:bottom w:val="nil"/>
              <w:right w:val="nil"/>
            </w:tcBorders>
            <w:shd w:val="clear" w:color="auto" w:fill="95B3D7"/>
            <w:vAlign w:val="center"/>
            <w:hideMark/>
          </w:tcPr>
          <w:p w14:paraId="6A22645C" w14:textId="77777777" w:rsidR="00CF05C1" w:rsidRPr="00CF05C1" w:rsidRDefault="00CF05C1" w:rsidP="00CF05C1">
            <w:pPr>
              <w:spacing w:after="0" w:line="240" w:lineRule="auto"/>
              <w:jc w:val="right"/>
              <w:rPr>
                <w:rFonts w:eastAsia="Times New Roman" w:cstheme="minorHAnsi"/>
                <w:color w:val="000000"/>
                <w:lang w:eastAsia="pt-BR"/>
              </w:rPr>
            </w:pPr>
            <w:r w:rsidRPr="00CF05C1">
              <w:rPr>
                <w:rFonts w:eastAsia="Times New Roman" w:cstheme="minorHAnsi"/>
                <w:b/>
                <w:bCs/>
                <w:color w:val="000000"/>
                <w:lang w:eastAsia="pt-BR"/>
              </w:rPr>
              <w:t>IAG: 0 </w:t>
            </w:r>
          </w:p>
        </w:tc>
      </w:tr>
    </w:tbl>
    <w:p w14:paraId="3E29473C" w14:textId="77777777" w:rsidR="00CF05C1" w:rsidRPr="00CF05C1" w:rsidRDefault="00CF05C1" w:rsidP="00CF05C1">
      <w:pPr>
        <w:numPr>
          <w:ilvl w:val="0"/>
          <w:numId w:val="13"/>
        </w:numPr>
        <w:spacing w:before="100" w:beforeAutospacing="1" w:after="240" w:line="240" w:lineRule="auto"/>
        <w:rPr>
          <w:rFonts w:eastAsia="Times New Roman" w:cstheme="minorHAnsi"/>
          <w:color w:val="000000"/>
          <w:lang w:eastAsia="pt-BR"/>
        </w:rPr>
      </w:pPr>
      <w:r w:rsidRPr="00CF05C1">
        <w:rPr>
          <w:rFonts w:eastAsia="Times New Roman" w:cstheme="minorHAnsi"/>
          <w:b/>
          <w:bCs/>
          <w:color w:val="000000"/>
          <w:lang w:eastAsia="pt-BR"/>
        </w:rPr>
        <w:t>Segundo Bimestre</w:t>
      </w:r>
      <w:r w:rsidRPr="00CF05C1">
        <w:rPr>
          <w:rFonts w:eastAsia="Times New Roman" w:cstheme="minorHAnsi"/>
          <w:color w:val="000000"/>
          <w:lang w:eastAsia="pt-BR"/>
        </w:rPr>
        <w:t xml:space="preserve"> </w:t>
      </w:r>
    </w:p>
    <w:p w14:paraId="509E9E24" w14:textId="77777777" w:rsidR="00CF05C1" w:rsidRPr="00CF05C1" w:rsidRDefault="00CF05C1" w:rsidP="00CF05C1">
      <w:pPr>
        <w:spacing w:before="100" w:beforeAutospacing="1" w:after="100" w:afterAutospacing="1" w:line="240" w:lineRule="auto"/>
        <w:ind w:left="720"/>
        <w:jc w:val="both"/>
        <w:rPr>
          <w:rFonts w:eastAsia="Times New Roman" w:cstheme="minorHAnsi"/>
          <w:color w:val="000000"/>
          <w:lang w:eastAsia="pt-BR"/>
        </w:rPr>
      </w:pPr>
      <w:r w:rsidRPr="00CF05C1">
        <w:rPr>
          <w:rFonts w:eastAsia="Times New Roman" w:cstheme="minorHAnsi"/>
          <w:b/>
          <w:bCs/>
          <w:color w:val="000000"/>
          <w:lang w:eastAsia="pt-BR"/>
        </w:rPr>
        <w:t>Justificativa de Desempenho Jan-</w:t>
      </w:r>
      <w:proofErr w:type="spellStart"/>
      <w:r w:rsidRPr="00CF05C1">
        <w:rPr>
          <w:rFonts w:eastAsia="Times New Roman" w:cstheme="minorHAnsi"/>
          <w:b/>
          <w:bCs/>
          <w:color w:val="000000"/>
          <w:lang w:eastAsia="pt-BR"/>
        </w:rPr>
        <w:t>Abr</w:t>
      </w:r>
      <w:proofErr w:type="spellEnd"/>
      <w:r w:rsidRPr="00CF05C1">
        <w:rPr>
          <w:rFonts w:eastAsia="Times New Roman" w:cstheme="minorHAnsi"/>
          <w:b/>
          <w:bCs/>
          <w:color w:val="000000"/>
          <w:lang w:eastAsia="pt-BR"/>
        </w:rPr>
        <w:t xml:space="preserve">: </w:t>
      </w:r>
      <w:r w:rsidRPr="00CF05C1">
        <w:rPr>
          <w:rFonts w:eastAsia="Times New Roman" w:cstheme="minorHAnsi"/>
          <w:color w:val="000000"/>
          <w:lang w:eastAsia="pt-BR"/>
        </w:rPr>
        <w:t xml:space="preserve">O resultado físico apresentado é a causa do status subestimado. A metodologia de estimativas no momento de revisão do PPAG e da LOA utilizada ao considerar apenas valor e número de precatórios contemplados no prazo de inscrição até 1º de julho, inviabiliza alcançar resultados dentro do intervalo de desempenho aceitável ao computar no decorrer do ano também Requisitório de Pequeno Valor. </w:t>
      </w:r>
    </w:p>
    <w:p w14:paraId="7025A0A5" w14:textId="77777777" w:rsidR="00CF05C1" w:rsidRPr="00CF05C1" w:rsidRDefault="00CF05C1" w:rsidP="00CF05C1">
      <w:pPr>
        <w:spacing w:before="100" w:beforeAutospacing="1" w:after="240" w:line="240" w:lineRule="auto"/>
        <w:ind w:left="720"/>
        <w:rPr>
          <w:rFonts w:eastAsia="Times New Roman" w:cstheme="minorHAnsi"/>
          <w:color w:val="000000"/>
          <w:lang w:eastAsia="pt-BR"/>
        </w:rPr>
      </w:pPr>
    </w:p>
    <w:p w14:paraId="6E90C469" w14:textId="77777777" w:rsidR="00CF05C1" w:rsidRPr="00CF05C1" w:rsidRDefault="00CF05C1" w:rsidP="00CF05C1">
      <w:pPr>
        <w:spacing w:before="100" w:beforeAutospacing="1" w:after="100" w:afterAutospacing="1" w:line="240" w:lineRule="auto"/>
        <w:ind w:left="720"/>
        <w:jc w:val="both"/>
        <w:rPr>
          <w:rFonts w:ascii="Verdana" w:eastAsia="Times New Roman" w:hAnsi="Verdana" w:cs="Times New Roman"/>
          <w:color w:val="000000"/>
          <w:sz w:val="15"/>
          <w:szCs w:val="15"/>
          <w:lang w:eastAsia="pt-BR"/>
        </w:rPr>
      </w:pPr>
      <w:r w:rsidRPr="00CF05C1">
        <w:rPr>
          <w:rFonts w:eastAsia="Times New Roman" w:cstheme="minorHAnsi"/>
          <w:b/>
          <w:bCs/>
          <w:color w:val="000000"/>
          <w:lang w:eastAsia="pt-BR"/>
        </w:rPr>
        <w:t xml:space="preserve">Outras informações de situação: </w:t>
      </w:r>
      <w:r w:rsidRPr="00CF05C1">
        <w:rPr>
          <w:rFonts w:eastAsia="Times New Roman" w:cstheme="minorHAnsi"/>
          <w:color w:val="000000"/>
          <w:lang w:eastAsia="pt-BR"/>
        </w:rPr>
        <w:t xml:space="preserve">No bimestre foram </w:t>
      </w:r>
      <w:proofErr w:type="gramStart"/>
      <w:r w:rsidRPr="00CF05C1">
        <w:rPr>
          <w:rFonts w:eastAsia="Times New Roman" w:cstheme="minorHAnsi"/>
          <w:color w:val="000000"/>
          <w:lang w:eastAsia="pt-BR"/>
        </w:rPr>
        <w:t>realizados</w:t>
      </w:r>
      <w:proofErr w:type="gramEnd"/>
      <w:r w:rsidRPr="00CF05C1">
        <w:rPr>
          <w:rFonts w:eastAsia="Times New Roman" w:cstheme="minorHAnsi"/>
          <w:color w:val="000000"/>
          <w:lang w:eastAsia="pt-BR"/>
        </w:rPr>
        <w:t xml:space="preserve"> 47 unidades de processos de RPV e no quadrimestre 71 unidades</w:t>
      </w:r>
      <w:r w:rsidRPr="00CF05C1">
        <w:rPr>
          <w:rFonts w:ascii="Verdana" w:eastAsia="Times New Roman" w:hAnsi="Verdana" w:cs="Times New Roman"/>
          <w:color w:val="000000"/>
          <w:sz w:val="15"/>
          <w:szCs w:val="15"/>
          <w:lang w:eastAsia="pt-BR"/>
        </w:rPr>
        <w:t>.</w:t>
      </w:r>
    </w:p>
    <w:p w14:paraId="2E980717" w14:textId="5C10F523" w:rsidR="00320B75" w:rsidRDefault="00320B75" w:rsidP="00082639"/>
    <w:p w14:paraId="119929AB" w14:textId="3BE03274" w:rsidR="001C448F" w:rsidRDefault="001C448F" w:rsidP="00082639"/>
    <w:p w14:paraId="22FC61DC" w14:textId="694AFB34" w:rsidR="001C448F" w:rsidRDefault="001C448F" w:rsidP="00082639">
      <w:r>
        <w:rPr>
          <w:noProof/>
        </w:rPr>
        <w:lastRenderedPageBreak/>
        <w:drawing>
          <wp:inline distT="0" distB="0" distL="0" distR="0" wp14:anchorId="540B009A" wp14:editId="4522F62D">
            <wp:extent cx="8521065" cy="54000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21065" cy="5400040"/>
                    </a:xfrm>
                    <a:prstGeom prst="rect">
                      <a:avLst/>
                    </a:prstGeom>
                  </pic:spPr>
                </pic:pic>
              </a:graphicData>
            </a:graphic>
          </wp:inline>
        </w:drawing>
      </w:r>
    </w:p>
    <w:tbl>
      <w:tblPr>
        <w:tblW w:w="12750" w:type="dxa"/>
        <w:jc w:val="center"/>
        <w:tblCellSpacing w:w="0" w:type="dxa"/>
        <w:tblCellMar>
          <w:top w:w="10" w:type="dxa"/>
          <w:left w:w="10" w:type="dxa"/>
          <w:bottom w:w="10" w:type="dxa"/>
          <w:right w:w="10" w:type="dxa"/>
        </w:tblCellMar>
        <w:tblLook w:val="04A0" w:firstRow="1" w:lastRow="0" w:firstColumn="1" w:lastColumn="0" w:noHBand="0" w:noVBand="1"/>
      </w:tblPr>
      <w:tblGrid>
        <w:gridCol w:w="11475"/>
        <w:gridCol w:w="1275"/>
      </w:tblGrid>
      <w:tr w:rsidR="00A04868" w:rsidRPr="00A04868" w14:paraId="66A0DBFD" w14:textId="77777777" w:rsidTr="00A04868">
        <w:trPr>
          <w:trHeight w:val="250"/>
          <w:tblCellSpacing w:w="0" w:type="dxa"/>
          <w:jc w:val="center"/>
        </w:trPr>
        <w:tc>
          <w:tcPr>
            <w:tcW w:w="4500" w:type="pct"/>
            <w:tcBorders>
              <w:top w:val="nil"/>
              <w:left w:val="nil"/>
              <w:bottom w:val="nil"/>
              <w:right w:val="nil"/>
            </w:tcBorders>
            <w:shd w:val="clear" w:color="auto" w:fill="95B3D7"/>
            <w:vAlign w:val="center"/>
            <w:hideMark/>
          </w:tcPr>
          <w:p w14:paraId="0B7F14ED" w14:textId="77777777" w:rsidR="00A04868" w:rsidRPr="00A04868" w:rsidRDefault="00A04868" w:rsidP="00A04868">
            <w:pPr>
              <w:spacing w:after="0" w:line="240" w:lineRule="auto"/>
              <w:rPr>
                <w:rFonts w:eastAsia="Times New Roman" w:cstheme="minorHAnsi"/>
                <w:color w:val="000000"/>
                <w:lang w:eastAsia="pt-BR"/>
              </w:rPr>
            </w:pPr>
            <w:r w:rsidRPr="00A04868">
              <w:rPr>
                <w:rFonts w:eastAsia="Times New Roman" w:cstheme="minorHAnsi"/>
                <w:b/>
                <w:bCs/>
                <w:color w:val="000000"/>
                <w:lang w:eastAsia="pt-BR"/>
              </w:rPr>
              <w:lastRenderedPageBreak/>
              <w:t>Ação: 7004 - PRECATÓRIOS E SENTENÇAS JUDICIÁRIAS</w:t>
            </w:r>
            <w:r w:rsidRPr="00A04868">
              <w:rPr>
                <w:rFonts w:eastAsia="Times New Roman" w:cstheme="minorHAnsi"/>
                <w:color w:val="000000"/>
                <w:lang w:eastAsia="pt-BR"/>
              </w:rPr>
              <w:t xml:space="preserve"> </w:t>
            </w:r>
          </w:p>
        </w:tc>
        <w:tc>
          <w:tcPr>
            <w:tcW w:w="500" w:type="pct"/>
            <w:tcBorders>
              <w:top w:val="nil"/>
              <w:left w:val="nil"/>
              <w:bottom w:val="nil"/>
              <w:right w:val="nil"/>
            </w:tcBorders>
            <w:shd w:val="clear" w:color="auto" w:fill="95B3D7"/>
            <w:vAlign w:val="center"/>
            <w:hideMark/>
          </w:tcPr>
          <w:p w14:paraId="25527009" w14:textId="77777777" w:rsidR="00A04868" w:rsidRPr="00A04868" w:rsidRDefault="00A04868" w:rsidP="00A04868">
            <w:pPr>
              <w:spacing w:after="0" w:line="240" w:lineRule="auto"/>
              <w:jc w:val="right"/>
              <w:rPr>
                <w:rFonts w:eastAsia="Times New Roman" w:cstheme="minorHAnsi"/>
                <w:color w:val="000000"/>
                <w:lang w:eastAsia="pt-BR"/>
              </w:rPr>
            </w:pPr>
            <w:r w:rsidRPr="00A04868">
              <w:rPr>
                <w:rFonts w:eastAsia="Times New Roman" w:cstheme="minorHAnsi"/>
                <w:b/>
                <w:bCs/>
                <w:color w:val="000000"/>
                <w:lang w:eastAsia="pt-BR"/>
              </w:rPr>
              <w:t>IAG: 0 </w:t>
            </w:r>
          </w:p>
        </w:tc>
      </w:tr>
    </w:tbl>
    <w:p w14:paraId="44246721" w14:textId="77777777" w:rsidR="00A04868" w:rsidRPr="00A04868" w:rsidRDefault="00A04868" w:rsidP="00A04868">
      <w:pPr>
        <w:numPr>
          <w:ilvl w:val="0"/>
          <w:numId w:val="14"/>
        </w:numPr>
        <w:spacing w:before="100" w:beforeAutospacing="1" w:after="100" w:afterAutospacing="1" w:line="240" w:lineRule="auto"/>
        <w:rPr>
          <w:rFonts w:eastAsia="Times New Roman" w:cstheme="minorHAnsi"/>
          <w:color w:val="000000"/>
          <w:lang w:eastAsia="pt-BR"/>
        </w:rPr>
      </w:pPr>
      <w:r w:rsidRPr="00A04868">
        <w:rPr>
          <w:rFonts w:eastAsia="Times New Roman" w:cstheme="minorHAnsi"/>
          <w:b/>
          <w:bCs/>
          <w:color w:val="000000"/>
          <w:lang w:eastAsia="pt-BR"/>
        </w:rPr>
        <w:t>Terceiro Bimestre</w:t>
      </w:r>
      <w:r w:rsidRPr="00A04868">
        <w:rPr>
          <w:rFonts w:eastAsia="Times New Roman" w:cstheme="minorHAnsi"/>
          <w:color w:val="000000"/>
          <w:lang w:eastAsia="pt-BR"/>
        </w:rPr>
        <w:t xml:space="preserve"> </w:t>
      </w:r>
      <w:r w:rsidRPr="00A04868">
        <w:rPr>
          <w:rFonts w:eastAsia="Times New Roman" w:cstheme="minorHAnsi"/>
          <w:color w:val="000000"/>
          <w:lang w:eastAsia="pt-BR"/>
        </w:rPr>
        <w:br/>
      </w:r>
      <w:r w:rsidRPr="00A04868">
        <w:rPr>
          <w:rFonts w:eastAsia="Times New Roman" w:cstheme="minorHAnsi"/>
          <w:color w:val="000000"/>
          <w:lang w:eastAsia="pt-BR"/>
        </w:rPr>
        <w:br/>
      </w:r>
      <w:r w:rsidRPr="00A04868">
        <w:rPr>
          <w:rFonts w:eastAsia="Times New Roman" w:cstheme="minorHAnsi"/>
          <w:b/>
          <w:bCs/>
          <w:color w:val="000000"/>
          <w:lang w:eastAsia="pt-BR"/>
        </w:rPr>
        <w:t>Justificativa de Desempenho Jan-</w:t>
      </w:r>
      <w:proofErr w:type="spellStart"/>
      <w:r w:rsidRPr="00A04868">
        <w:rPr>
          <w:rFonts w:eastAsia="Times New Roman" w:cstheme="minorHAnsi"/>
          <w:b/>
          <w:bCs/>
          <w:color w:val="000000"/>
          <w:lang w:eastAsia="pt-BR"/>
        </w:rPr>
        <w:t>Jun</w:t>
      </w:r>
      <w:proofErr w:type="spellEnd"/>
      <w:r w:rsidRPr="00A04868">
        <w:rPr>
          <w:rFonts w:eastAsia="Times New Roman" w:cstheme="minorHAnsi"/>
          <w:b/>
          <w:bCs/>
          <w:color w:val="000000"/>
          <w:lang w:eastAsia="pt-BR"/>
        </w:rPr>
        <w:t xml:space="preserve">: </w:t>
      </w:r>
      <w:r w:rsidRPr="00A04868">
        <w:rPr>
          <w:rFonts w:eastAsia="Times New Roman" w:cstheme="minorHAnsi"/>
          <w:color w:val="000000"/>
          <w:lang w:eastAsia="pt-BR"/>
        </w:rPr>
        <w:t xml:space="preserve">Devido as características própria dessa ação, tendo em vista que apenas é computado o quantitativo físico e valor com precatórios, até 1º de julho registrados no PPA/LOA, e também as dificuldades em estimar a execução dessa ação devido as particularidades de cada processo de RPV, não vislumbramos um método plausível em realizar uma execução orçamentária/financeira, dentro dos parâmetros previstos, sendo entre 70 e 130, tendo como consequência Status Físico X Orçamentário 'SUBESTIMADO". </w:t>
      </w:r>
      <w:r w:rsidRPr="00A04868">
        <w:rPr>
          <w:rFonts w:eastAsia="Times New Roman" w:cstheme="minorHAnsi"/>
          <w:color w:val="000000"/>
          <w:lang w:eastAsia="pt-BR"/>
        </w:rPr>
        <w:br/>
      </w:r>
      <w:r w:rsidRPr="00A04868">
        <w:rPr>
          <w:rFonts w:eastAsia="Times New Roman" w:cstheme="minorHAnsi"/>
          <w:color w:val="000000"/>
          <w:lang w:eastAsia="pt-BR"/>
        </w:rPr>
        <w:br/>
      </w:r>
      <w:r w:rsidRPr="00A04868">
        <w:rPr>
          <w:rFonts w:eastAsia="Times New Roman" w:cstheme="minorHAnsi"/>
          <w:b/>
          <w:bCs/>
          <w:color w:val="000000"/>
          <w:lang w:eastAsia="pt-BR"/>
        </w:rPr>
        <w:t xml:space="preserve">Outras informações de situação: </w:t>
      </w:r>
      <w:r w:rsidRPr="00A04868">
        <w:rPr>
          <w:rFonts w:eastAsia="Times New Roman" w:cstheme="minorHAnsi"/>
          <w:color w:val="000000"/>
          <w:lang w:eastAsia="pt-BR"/>
        </w:rPr>
        <w:t xml:space="preserve">No bimestre foram cobertos 53 processos, sendo que </w:t>
      </w:r>
      <w:proofErr w:type="gramStart"/>
      <w:r w:rsidRPr="00A04868">
        <w:rPr>
          <w:rFonts w:eastAsia="Times New Roman" w:cstheme="minorHAnsi"/>
          <w:color w:val="000000"/>
          <w:lang w:eastAsia="pt-BR"/>
        </w:rPr>
        <w:t>destes 5 unidades</w:t>
      </w:r>
      <w:proofErr w:type="gramEnd"/>
      <w:r w:rsidRPr="00A04868">
        <w:rPr>
          <w:rFonts w:eastAsia="Times New Roman" w:cstheme="minorHAnsi"/>
          <w:color w:val="000000"/>
          <w:lang w:eastAsia="pt-BR"/>
        </w:rPr>
        <w:t xml:space="preserve"> são processos de precatórios com diversos credores. </w:t>
      </w:r>
    </w:p>
    <w:p w14:paraId="7C93F871" w14:textId="4EB84991" w:rsidR="001C448F" w:rsidRDefault="001C448F" w:rsidP="00082639"/>
    <w:p w14:paraId="0EEB3205" w14:textId="6FEAA455" w:rsidR="007A65B4" w:rsidRDefault="007A65B4" w:rsidP="00082639"/>
    <w:p w14:paraId="17AF4BC4" w14:textId="3AFA4D7C" w:rsidR="007A65B4" w:rsidRDefault="007A65B4" w:rsidP="00082639"/>
    <w:p w14:paraId="2F7B5920" w14:textId="2A16FA9E" w:rsidR="007A65B4" w:rsidRDefault="007A65B4" w:rsidP="00082639"/>
    <w:p w14:paraId="4E9938A5" w14:textId="671EE316" w:rsidR="007A65B4" w:rsidRDefault="007A65B4" w:rsidP="00082639"/>
    <w:p w14:paraId="26FAB855" w14:textId="7B7E5996" w:rsidR="007A65B4" w:rsidRDefault="007A65B4" w:rsidP="00082639"/>
    <w:p w14:paraId="393FBEFC" w14:textId="5D8EAE2D" w:rsidR="007A65B4" w:rsidRDefault="007A65B4" w:rsidP="00082639"/>
    <w:p w14:paraId="45BCCC04" w14:textId="4275BA16" w:rsidR="007A65B4" w:rsidRDefault="007A65B4" w:rsidP="00082639">
      <w:r>
        <w:rPr>
          <w:noProof/>
        </w:rPr>
        <w:lastRenderedPageBreak/>
        <w:drawing>
          <wp:inline distT="0" distB="0" distL="0" distR="0" wp14:anchorId="75E55853" wp14:editId="7A7A5758">
            <wp:extent cx="8550275" cy="5400040"/>
            <wp:effectExtent l="0" t="0" r="317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50275" cy="5400040"/>
                    </a:xfrm>
                    <a:prstGeom prst="rect">
                      <a:avLst/>
                    </a:prstGeom>
                  </pic:spPr>
                </pic:pic>
              </a:graphicData>
            </a:graphic>
          </wp:inline>
        </w:drawing>
      </w:r>
    </w:p>
    <w:tbl>
      <w:tblPr>
        <w:tblW w:w="12750" w:type="dxa"/>
        <w:jc w:val="center"/>
        <w:tblCellSpacing w:w="0" w:type="dxa"/>
        <w:tblCellMar>
          <w:top w:w="10" w:type="dxa"/>
          <w:left w:w="10" w:type="dxa"/>
          <w:bottom w:w="10" w:type="dxa"/>
          <w:right w:w="10" w:type="dxa"/>
        </w:tblCellMar>
        <w:tblLook w:val="04A0" w:firstRow="1" w:lastRow="0" w:firstColumn="1" w:lastColumn="0" w:noHBand="0" w:noVBand="1"/>
      </w:tblPr>
      <w:tblGrid>
        <w:gridCol w:w="11475"/>
        <w:gridCol w:w="1275"/>
      </w:tblGrid>
      <w:tr w:rsidR="005F575E" w:rsidRPr="005F575E" w14:paraId="6B1E0194" w14:textId="77777777" w:rsidTr="005F575E">
        <w:trPr>
          <w:trHeight w:val="250"/>
          <w:tblCellSpacing w:w="0" w:type="dxa"/>
          <w:jc w:val="center"/>
        </w:trPr>
        <w:tc>
          <w:tcPr>
            <w:tcW w:w="4500" w:type="pct"/>
            <w:tcBorders>
              <w:top w:val="nil"/>
              <w:left w:val="nil"/>
              <w:bottom w:val="nil"/>
              <w:right w:val="nil"/>
            </w:tcBorders>
            <w:shd w:val="clear" w:color="auto" w:fill="95B3D7"/>
            <w:vAlign w:val="center"/>
            <w:hideMark/>
          </w:tcPr>
          <w:p w14:paraId="2A4D5CB7" w14:textId="77777777" w:rsidR="005F575E" w:rsidRPr="005F575E" w:rsidRDefault="005F575E" w:rsidP="005F575E">
            <w:r w:rsidRPr="005F575E">
              <w:rPr>
                <w:b/>
                <w:bCs/>
              </w:rPr>
              <w:lastRenderedPageBreak/>
              <w:t>Ação: 7004 - PRECATÓRIOS E SENTENÇAS JUDICIÁRIAS</w:t>
            </w:r>
            <w:r w:rsidRPr="005F575E">
              <w:t xml:space="preserve"> </w:t>
            </w:r>
          </w:p>
        </w:tc>
        <w:tc>
          <w:tcPr>
            <w:tcW w:w="500" w:type="pct"/>
            <w:tcBorders>
              <w:top w:val="nil"/>
              <w:left w:val="nil"/>
              <w:bottom w:val="nil"/>
              <w:right w:val="nil"/>
            </w:tcBorders>
            <w:shd w:val="clear" w:color="auto" w:fill="95B3D7"/>
            <w:vAlign w:val="center"/>
            <w:hideMark/>
          </w:tcPr>
          <w:p w14:paraId="74EAB490" w14:textId="77777777" w:rsidR="005F575E" w:rsidRPr="005F575E" w:rsidRDefault="005F575E" w:rsidP="005F575E">
            <w:r w:rsidRPr="005F575E">
              <w:rPr>
                <w:b/>
                <w:bCs/>
              </w:rPr>
              <w:t>IAG: 0 </w:t>
            </w:r>
          </w:p>
        </w:tc>
      </w:tr>
    </w:tbl>
    <w:p w14:paraId="792F81F9" w14:textId="40D4B849" w:rsidR="005F575E" w:rsidRPr="005F575E" w:rsidRDefault="005F575E" w:rsidP="005F575E">
      <w:pPr>
        <w:numPr>
          <w:ilvl w:val="0"/>
          <w:numId w:val="15"/>
        </w:numPr>
      </w:pPr>
      <w:r w:rsidRPr="005F575E">
        <w:rPr>
          <w:b/>
          <w:bCs/>
        </w:rPr>
        <w:t>Quarto Bimestre</w:t>
      </w:r>
      <w:r w:rsidRPr="005F575E">
        <w:t xml:space="preserve"> </w:t>
      </w:r>
      <w:r w:rsidRPr="005F575E">
        <w:br/>
      </w:r>
      <w:r w:rsidRPr="005F575E">
        <w:br/>
      </w:r>
      <w:r w:rsidRPr="005F575E">
        <w:rPr>
          <w:b/>
          <w:bCs/>
        </w:rPr>
        <w:t xml:space="preserve">Justificativa de Desempenho </w:t>
      </w:r>
      <w:proofErr w:type="spellStart"/>
      <w:r w:rsidRPr="005F575E">
        <w:rPr>
          <w:b/>
          <w:bCs/>
        </w:rPr>
        <w:t>Jan-Ago</w:t>
      </w:r>
      <w:proofErr w:type="spellEnd"/>
      <w:r w:rsidRPr="005F575E">
        <w:rPr>
          <w:b/>
          <w:bCs/>
        </w:rPr>
        <w:t xml:space="preserve">: </w:t>
      </w:r>
      <w:r w:rsidRPr="005F575E">
        <w:t xml:space="preserve">Tanto o resultado físico </w:t>
      </w:r>
      <w:r>
        <w:t>como</w:t>
      </w:r>
      <w:r w:rsidRPr="005F575E">
        <w:t xml:space="preserve"> orçamentário estão subestimados até o bimestre. Trata se de ação orçamentária que dadas as suas particularidades de estimativa no momento da LOA e a execução no decorrer do ano via cumprimento de mandados judiciais inviabilizam estimativas mais próximas da realidade de execução e dentro de intervalos de eficiência exigidos pelo sistema. </w:t>
      </w:r>
      <w:r w:rsidRPr="005F575E">
        <w:br/>
      </w:r>
      <w:r w:rsidRPr="005F575E">
        <w:br/>
      </w:r>
      <w:r w:rsidRPr="005F575E">
        <w:rPr>
          <w:b/>
          <w:bCs/>
        </w:rPr>
        <w:t xml:space="preserve">Outras informações de situação: </w:t>
      </w:r>
      <w:r w:rsidRPr="005F575E">
        <w:t xml:space="preserve">No bimestre monitorado foram </w:t>
      </w:r>
      <w:proofErr w:type="gramStart"/>
      <w:r w:rsidRPr="005F575E">
        <w:t>cobertos</w:t>
      </w:r>
      <w:proofErr w:type="gramEnd"/>
      <w:r w:rsidRPr="005F575E">
        <w:t xml:space="preserve"> 74 unidades de processos sendo que destes apenas uma é de precatório.</w:t>
      </w:r>
    </w:p>
    <w:p w14:paraId="3970C638" w14:textId="7C77A325" w:rsidR="007A65B4" w:rsidRDefault="007A65B4" w:rsidP="00082639"/>
    <w:p w14:paraId="14BABC81" w14:textId="5ADE504B" w:rsidR="0042126F" w:rsidRDefault="0042126F" w:rsidP="00082639"/>
    <w:p w14:paraId="1DBB2643" w14:textId="16A0CFD0" w:rsidR="0042126F" w:rsidRDefault="0042126F" w:rsidP="00082639">
      <w:r>
        <w:rPr>
          <w:noProof/>
        </w:rPr>
        <w:lastRenderedPageBreak/>
        <w:drawing>
          <wp:inline distT="0" distB="0" distL="0" distR="0" wp14:anchorId="745B61CA" wp14:editId="70C37D0A">
            <wp:extent cx="8534400" cy="5400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34400" cy="5400040"/>
                    </a:xfrm>
                    <a:prstGeom prst="rect">
                      <a:avLst/>
                    </a:prstGeom>
                  </pic:spPr>
                </pic:pic>
              </a:graphicData>
            </a:graphic>
          </wp:inline>
        </w:drawing>
      </w:r>
    </w:p>
    <w:tbl>
      <w:tblPr>
        <w:tblW w:w="12750" w:type="dxa"/>
        <w:jc w:val="center"/>
        <w:tblCellSpacing w:w="0" w:type="dxa"/>
        <w:tblCellMar>
          <w:top w:w="10" w:type="dxa"/>
          <w:left w:w="10" w:type="dxa"/>
          <w:bottom w:w="10" w:type="dxa"/>
          <w:right w:w="10" w:type="dxa"/>
        </w:tblCellMar>
        <w:tblLook w:val="04A0" w:firstRow="1" w:lastRow="0" w:firstColumn="1" w:lastColumn="0" w:noHBand="0" w:noVBand="1"/>
      </w:tblPr>
      <w:tblGrid>
        <w:gridCol w:w="11475"/>
        <w:gridCol w:w="1275"/>
      </w:tblGrid>
      <w:tr w:rsidR="00A438C5" w:rsidRPr="00A438C5" w14:paraId="302E2132" w14:textId="77777777" w:rsidTr="00A438C5">
        <w:trPr>
          <w:trHeight w:val="250"/>
          <w:tblCellSpacing w:w="0" w:type="dxa"/>
          <w:jc w:val="center"/>
        </w:trPr>
        <w:tc>
          <w:tcPr>
            <w:tcW w:w="4500" w:type="pct"/>
            <w:tcBorders>
              <w:top w:val="nil"/>
              <w:left w:val="nil"/>
              <w:bottom w:val="nil"/>
              <w:right w:val="nil"/>
            </w:tcBorders>
            <w:shd w:val="clear" w:color="auto" w:fill="95B3D7"/>
            <w:vAlign w:val="center"/>
            <w:hideMark/>
          </w:tcPr>
          <w:p w14:paraId="10837093" w14:textId="77777777" w:rsidR="00A438C5" w:rsidRPr="00A438C5" w:rsidRDefault="00A438C5" w:rsidP="00A438C5">
            <w:pPr>
              <w:spacing w:after="0" w:line="240" w:lineRule="auto"/>
              <w:rPr>
                <w:rFonts w:eastAsia="Times New Roman" w:cstheme="minorHAnsi"/>
                <w:color w:val="000000"/>
                <w:lang w:eastAsia="pt-BR"/>
              </w:rPr>
            </w:pPr>
            <w:r w:rsidRPr="00A438C5">
              <w:rPr>
                <w:rFonts w:eastAsia="Times New Roman" w:cstheme="minorHAnsi"/>
                <w:b/>
                <w:bCs/>
                <w:color w:val="000000"/>
                <w:lang w:eastAsia="pt-BR"/>
              </w:rPr>
              <w:lastRenderedPageBreak/>
              <w:t>Ação: 7004 - PRECATÓRIOS E SENTENÇAS JUDICIÁRIAS</w:t>
            </w:r>
            <w:r w:rsidRPr="00A438C5">
              <w:rPr>
                <w:rFonts w:eastAsia="Times New Roman" w:cstheme="minorHAnsi"/>
                <w:color w:val="000000"/>
                <w:lang w:eastAsia="pt-BR"/>
              </w:rPr>
              <w:t xml:space="preserve"> </w:t>
            </w:r>
          </w:p>
        </w:tc>
        <w:tc>
          <w:tcPr>
            <w:tcW w:w="500" w:type="pct"/>
            <w:tcBorders>
              <w:top w:val="nil"/>
              <w:left w:val="nil"/>
              <w:bottom w:val="nil"/>
              <w:right w:val="nil"/>
            </w:tcBorders>
            <w:shd w:val="clear" w:color="auto" w:fill="95B3D7"/>
            <w:vAlign w:val="center"/>
            <w:hideMark/>
          </w:tcPr>
          <w:p w14:paraId="1D8270CD" w14:textId="77777777" w:rsidR="00A438C5" w:rsidRPr="00A438C5" w:rsidRDefault="00A438C5" w:rsidP="00A438C5">
            <w:pPr>
              <w:spacing w:after="0" w:line="240" w:lineRule="auto"/>
              <w:jc w:val="right"/>
              <w:rPr>
                <w:rFonts w:eastAsia="Times New Roman" w:cstheme="minorHAnsi"/>
                <w:color w:val="000000"/>
                <w:lang w:eastAsia="pt-BR"/>
              </w:rPr>
            </w:pPr>
            <w:r w:rsidRPr="00A438C5">
              <w:rPr>
                <w:rFonts w:eastAsia="Times New Roman" w:cstheme="minorHAnsi"/>
                <w:b/>
                <w:bCs/>
                <w:color w:val="000000"/>
                <w:lang w:eastAsia="pt-BR"/>
              </w:rPr>
              <w:t>IAG: 0 </w:t>
            </w:r>
          </w:p>
        </w:tc>
      </w:tr>
    </w:tbl>
    <w:p w14:paraId="74BC41E5" w14:textId="1DB133FF" w:rsidR="00A438C5" w:rsidRPr="00A438C5" w:rsidRDefault="00A438C5" w:rsidP="00A438C5">
      <w:pPr>
        <w:numPr>
          <w:ilvl w:val="0"/>
          <w:numId w:val="16"/>
        </w:numPr>
        <w:spacing w:before="100" w:beforeAutospacing="1" w:after="100" w:afterAutospacing="1" w:line="240" w:lineRule="auto"/>
        <w:rPr>
          <w:rFonts w:eastAsia="Times New Roman" w:cstheme="minorHAnsi"/>
          <w:color w:val="000000"/>
          <w:lang w:eastAsia="pt-BR"/>
        </w:rPr>
      </w:pPr>
      <w:r w:rsidRPr="00A438C5">
        <w:rPr>
          <w:rFonts w:eastAsia="Times New Roman" w:cstheme="minorHAnsi"/>
          <w:b/>
          <w:bCs/>
          <w:color w:val="000000"/>
          <w:lang w:eastAsia="pt-BR"/>
        </w:rPr>
        <w:t>Quinto Bimestre</w:t>
      </w:r>
      <w:r w:rsidRPr="00A438C5">
        <w:rPr>
          <w:rFonts w:eastAsia="Times New Roman" w:cstheme="minorHAnsi"/>
          <w:color w:val="000000"/>
          <w:lang w:eastAsia="pt-BR"/>
        </w:rPr>
        <w:t xml:space="preserve"> </w:t>
      </w:r>
      <w:r w:rsidRPr="00A438C5">
        <w:rPr>
          <w:rFonts w:eastAsia="Times New Roman" w:cstheme="minorHAnsi"/>
          <w:color w:val="000000"/>
          <w:lang w:eastAsia="pt-BR"/>
        </w:rPr>
        <w:br/>
      </w:r>
      <w:r w:rsidRPr="00A438C5">
        <w:rPr>
          <w:rFonts w:eastAsia="Times New Roman" w:cstheme="minorHAnsi"/>
          <w:color w:val="000000"/>
          <w:lang w:eastAsia="pt-BR"/>
        </w:rPr>
        <w:br/>
      </w:r>
      <w:r w:rsidRPr="00A438C5">
        <w:rPr>
          <w:rFonts w:eastAsia="Times New Roman" w:cstheme="minorHAnsi"/>
          <w:b/>
          <w:bCs/>
          <w:color w:val="000000"/>
          <w:lang w:eastAsia="pt-BR"/>
        </w:rPr>
        <w:t xml:space="preserve">Justificativa de Desempenho Jan-Out: </w:t>
      </w:r>
      <w:r w:rsidRPr="00A438C5">
        <w:rPr>
          <w:rFonts w:eastAsia="Times New Roman" w:cstheme="minorHAnsi"/>
          <w:color w:val="000000"/>
          <w:lang w:eastAsia="pt-BR"/>
        </w:rPr>
        <w:t xml:space="preserve">O status subestimado no resultado físico tem como causa não ser estimado Requisitórios de Pequeno Valor </w:t>
      </w:r>
      <w:proofErr w:type="gramStart"/>
      <w:r w:rsidRPr="00A438C5">
        <w:rPr>
          <w:rFonts w:eastAsia="Times New Roman" w:cstheme="minorHAnsi"/>
          <w:color w:val="000000"/>
          <w:lang w:eastAsia="pt-BR"/>
        </w:rPr>
        <w:t>na LOA</w:t>
      </w:r>
      <w:proofErr w:type="gramEnd"/>
      <w:r w:rsidRPr="00A438C5">
        <w:rPr>
          <w:rFonts w:eastAsia="Times New Roman" w:cstheme="minorHAnsi"/>
          <w:color w:val="000000"/>
          <w:lang w:eastAsia="pt-BR"/>
        </w:rPr>
        <w:t xml:space="preserve"> porém na execução, no decorrer do ano, eles são computados. A Fundação não tem autonomia para tentar mudar este resultado uma vez que são seguidas as diretrizes dadas pela SEPLAG no momento da estimativa. </w:t>
      </w:r>
      <w:proofErr w:type="gramStart"/>
      <w:r w:rsidRPr="00A438C5">
        <w:rPr>
          <w:rFonts w:eastAsia="Times New Roman" w:cstheme="minorHAnsi"/>
          <w:color w:val="000000"/>
          <w:lang w:eastAsia="pt-BR"/>
        </w:rPr>
        <w:t>Por outro lado</w:t>
      </w:r>
      <w:proofErr w:type="gramEnd"/>
      <w:r w:rsidRPr="00A438C5">
        <w:rPr>
          <w:rFonts w:eastAsia="Times New Roman" w:cstheme="minorHAnsi"/>
          <w:color w:val="000000"/>
          <w:lang w:eastAsia="pt-BR"/>
        </w:rPr>
        <w:t xml:space="preserve"> ainda são cumpridos mandados judiciais com prazo de cobertura. </w:t>
      </w:r>
      <w:proofErr w:type="gramStart"/>
      <w:r w:rsidRPr="00A438C5">
        <w:rPr>
          <w:rFonts w:eastAsia="Times New Roman" w:cstheme="minorHAnsi"/>
          <w:color w:val="000000"/>
          <w:lang w:eastAsia="pt-BR"/>
        </w:rPr>
        <w:t>Tratando portanto</w:t>
      </w:r>
      <w:proofErr w:type="gramEnd"/>
      <w:r w:rsidRPr="00A438C5">
        <w:rPr>
          <w:rFonts w:eastAsia="Times New Roman" w:cstheme="minorHAnsi"/>
          <w:color w:val="000000"/>
          <w:lang w:eastAsia="pt-BR"/>
        </w:rPr>
        <w:t xml:space="preserve"> complexo realizar esta estimativa dentro de intervalos eficientes exigidos. </w:t>
      </w:r>
      <w:r w:rsidRPr="00A438C5">
        <w:rPr>
          <w:rFonts w:eastAsia="Times New Roman" w:cstheme="minorHAnsi"/>
          <w:color w:val="000000"/>
          <w:lang w:eastAsia="pt-BR"/>
        </w:rPr>
        <w:br/>
      </w:r>
      <w:r w:rsidRPr="00A438C5">
        <w:rPr>
          <w:rFonts w:eastAsia="Times New Roman" w:cstheme="minorHAnsi"/>
          <w:color w:val="000000"/>
          <w:lang w:eastAsia="pt-BR"/>
        </w:rPr>
        <w:br/>
      </w:r>
      <w:r w:rsidRPr="00A438C5">
        <w:rPr>
          <w:rFonts w:eastAsia="Times New Roman" w:cstheme="minorHAnsi"/>
          <w:b/>
          <w:bCs/>
          <w:color w:val="000000"/>
          <w:lang w:eastAsia="pt-BR"/>
        </w:rPr>
        <w:t xml:space="preserve">Outras informações de situação: </w:t>
      </w:r>
      <w:r w:rsidRPr="00A438C5">
        <w:rPr>
          <w:rFonts w:eastAsia="Times New Roman" w:cstheme="minorHAnsi"/>
          <w:color w:val="000000"/>
          <w:lang w:eastAsia="pt-BR"/>
        </w:rPr>
        <w:t>No bimestre foram cobertos 74 processos, sendo destes apenas um é de precatório.</w:t>
      </w:r>
    </w:p>
    <w:p w14:paraId="325116AF" w14:textId="048AAF5B" w:rsidR="0042126F" w:rsidRDefault="0042126F" w:rsidP="00082639"/>
    <w:p w14:paraId="5775DA2C" w14:textId="5F3FB8F4" w:rsidR="0079223F" w:rsidRDefault="0079223F" w:rsidP="00082639"/>
    <w:p w14:paraId="2AA742DB" w14:textId="6DBC99B5" w:rsidR="0079223F" w:rsidRDefault="0079223F" w:rsidP="00082639"/>
    <w:p w14:paraId="77619FE6" w14:textId="7740312A" w:rsidR="0079223F" w:rsidRDefault="0079223F" w:rsidP="00082639"/>
    <w:p w14:paraId="74AB06C6" w14:textId="602FD722" w:rsidR="0079223F" w:rsidRDefault="0079223F" w:rsidP="00082639"/>
    <w:p w14:paraId="265D2146" w14:textId="5DD23FD0" w:rsidR="0079223F" w:rsidRDefault="0079223F" w:rsidP="00082639"/>
    <w:p w14:paraId="65E6F00B" w14:textId="6793BBE5" w:rsidR="0079223F" w:rsidRDefault="0079223F" w:rsidP="00082639"/>
    <w:p w14:paraId="299C4198" w14:textId="6A8D324B" w:rsidR="0079223F" w:rsidRDefault="0079223F" w:rsidP="00082639"/>
    <w:p w14:paraId="45CF4B6D" w14:textId="3C8D68D1" w:rsidR="0079223F" w:rsidRDefault="0079223F" w:rsidP="00082639"/>
    <w:p w14:paraId="17FAFA10" w14:textId="1257ED04" w:rsidR="0079223F" w:rsidRDefault="0079223F" w:rsidP="00082639"/>
    <w:p w14:paraId="522C6494" w14:textId="722A2919" w:rsidR="0079223F" w:rsidRDefault="0079223F" w:rsidP="00082639">
      <w:r>
        <w:rPr>
          <w:noProof/>
        </w:rPr>
        <w:lastRenderedPageBreak/>
        <w:drawing>
          <wp:inline distT="0" distB="0" distL="0" distR="0" wp14:anchorId="1A274148" wp14:editId="6F001B74">
            <wp:extent cx="8592185" cy="540004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92185" cy="5400040"/>
                    </a:xfrm>
                    <a:prstGeom prst="rect">
                      <a:avLst/>
                    </a:prstGeom>
                  </pic:spPr>
                </pic:pic>
              </a:graphicData>
            </a:graphic>
          </wp:inline>
        </w:drawing>
      </w:r>
    </w:p>
    <w:tbl>
      <w:tblPr>
        <w:tblW w:w="12750" w:type="dxa"/>
        <w:jc w:val="center"/>
        <w:tblCellSpacing w:w="0" w:type="dxa"/>
        <w:tblCellMar>
          <w:top w:w="10" w:type="dxa"/>
          <w:left w:w="10" w:type="dxa"/>
          <w:bottom w:w="10" w:type="dxa"/>
          <w:right w:w="10" w:type="dxa"/>
        </w:tblCellMar>
        <w:tblLook w:val="04A0" w:firstRow="1" w:lastRow="0" w:firstColumn="1" w:lastColumn="0" w:noHBand="0" w:noVBand="1"/>
      </w:tblPr>
      <w:tblGrid>
        <w:gridCol w:w="11475"/>
        <w:gridCol w:w="1275"/>
      </w:tblGrid>
      <w:tr w:rsidR="00D22C80" w:rsidRPr="00D22C80" w14:paraId="1BC2271E" w14:textId="77777777" w:rsidTr="00D22C80">
        <w:trPr>
          <w:trHeight w:val="250"/>
          <w:tblCellSpacing w:w="0" w:type="dxa"/>
          <w:jc w:val="center"/>
        </w:trPr>
        <w:tc>
          <w:tcPr>
            <w:tcW w:w="4500" w:type="pct"/>
            <w:tcBorders>
              <w:top w:val="nil"/>
              <w:left w:val="nil"/>
              <w:bottom w:val="nil"/>
              <w:right w:val="nil"/>
            </w:tcBorders>
            <w:shd w:val="clear" w:color="auto" w:fill="95B3D7"/>
            <w:vAlign w:val="center"/>
            <w:hideMark/>
          </w:tcPr>
          <w:p w14:paraId="55594526" w14:textId="77777777" w:rsidR="00D22C80" w:rsidRPr="00D22C80" w:rsidRDefault="00D22C80" w:rsidP="00D22C80">
            <w:pPr>
              <w:spacing w:after="0" w:line="240" w:lineRule="auto"/>
              <w:rPr>
                <w:rFonts w:eastAsia="Times New Roman" w:cstheme="minorHAnsi"/>
                <w:color w:val="000000"/>
                <w:lang w:eastAsia="pt-BR"/>
              </w:rPr>
            </w:pPr>
            <w:r w:rsidRPr="00D22C80">
              <w:rPr>
                <w:rFonts w:eastAsia="Times New Roman" w:cstheme="minorHAnsi"/>
                <w:b/>
                <w:bCs/>
                <w:color w:val="000000"/>
                <w:lang w:eastAsia="pt-BR"/>
              </w:rPr>
              <w:lastRenderedPageBreak/>
              <w:t>Ação: 7004 - PRECATÓRIOS E SENTENÇAS JUDICIÁRIAS</w:t>
            </w:r>
            <w:r w:rsidRPr="00D22C80">
              <w:rPr>
                <w:rFonts w:eastAsia="Times New Roman" w:cstheme="minorHAnsi"/>
                <w:color w:val="000000"/>
                <w:lang w:eastAsia="pt-BR"/>
              </w:rPr>
              <w:t xml:space="preserve"> </w:t>
            </w:r>
          </w:p>
        </w:tc>
        <w:tc>
          <w:tcPr>
            <w:tcW w:w="500" w:type="pct"/>
            <w:tcBorders>
              <w:top w:val="nil"/>
              <w:left w:val="nil"/>
              <w:bottom w:val="nil"/>
              <w:right w:val="nil"/>
            </w:tcBorders>
            <w:shd w:val="clear" w:color="auto" w:fill="95B3D7"/>
            <w:vAlign w:val="center"/>
            <w:hideMark/>
          </w:tcPr>
          <w:p w14:paraId="5CBEB8BE" w14:textId="77777777" w:rsidR="00D22C80" w:rsidRPr="00D22C80" w:rsidRDefault="00D22C80" w:rsidP="00D22C80">
            <w:pPr>
              <w:spacing w:after="0" w:line="240" w:lineRule="auto"/>
              <w:jc w:val="right"/>
              <w:rPr>
                <w:rFonts w:eastAsia="Times New Roman" w:cstheme="minorHAnsi"/>
                <w:color w:val="000000"/>
                <w:lang w:eastAsia="pt-BR"/>
              </w:rPr>
            </w:pPr>
            <w:r w:rsidRPr="00D22C80">
              <w:rPr>
                <w:rFonts w:eastAsia="Times New Roman" w:cstheme="minorHAnsi"/>
                <w:b/>
                <w:bCs/>
                <w:color w:val="000000"/>
                <w:lang w:eastAsia="pt-BR"/>
              </w:rPr>
              <w:t>IAG: 0 </w:t>
            </w:r>
          </w:p>
        </w:tc>
      </w:tr>
    </w:tbl>
    <w:p w14:paraId="0263786D" w14:textId="77777777" w:rsidR="00D22C80" w:rsidRPr="00D22C80" w:rsidRDefault="00D22C80" w:rsidP="00D22C80">
      <w:pPr>
        <w:numPr>
          <w:ilvl w:val="0"/>
          <w:numId w:val="17"/>
        </w:numPr>
        <w:spacing w:before="100" w:beforeAutospacing="1" w:after="100" w:afterAutospacing="1" w:line="240" w:lineRule="auto"/>
        <w:rPr>
          <w:rFonts w:eastAsia="Times New Roman" w:cstheme="minorHAnsi"/>
          <w:color w:val="000000"/>
          <w:lang w:eastAsia="pt-BR"/>
        </w:rPr>
      </w:pPr>
      <w:r w:rsidRPr="00D22C80">
        <w:rPr>
          <w:rFonts w:eastAsia="Times New Roman" w:cstheme="minorHAnsi"/>
          <w:b/>
          <w:bCs/>
          <w:color w:val="000000"/>
          <w:lang w:eastAsia="pt-BR"/>
        </w:rPr>
        <w:t>Sexto Bimestre</w:t>
      </w:r>
      <w:r w:rsidRPr="00D22C80">
        <w:rPr>
          <w:rFonts w:eastAsia="Times New Roman" w:cstheme="minorHAnsi"/>
          <w:color w:val="000000"/>
          <w:lang w:eastAsia="pt-BR"/>
        </w:rPr>
        <w:t xml:space="preserve"> </w:t>
      </w:r>
      <w:r w:rsidRPr="00D22C80">
        <w:rPr>
          <w:rFonts w:eastAsia="Times New Roman" w:cstheme="minorHAnsi"/>
          <w:color w:val="000000"/>
          <w:lang w:eastAsia="pt-BR"/>
        </w:rPr>
        <w:br/>
      </w:r>
      <w:r w:rsidRPr="00D22C80">
        <w:rPr>
          <w:rFonts w:eastAsia="Times New Roman" w:cstheme="minorHAnsi"/>
          <w:color w:val="000000"/>
          <w:lang w:eastAsia="pt-BR"/>
        </w:rPr>
        <w:br/>
      </w:r>
      <w:r w:rsidRPr="00D22C80">
        <w:rPr>
          <w:rFonts w:eastAsia="Times New Roman" w:cstheme="minorHAnsi"/>
          <w:b/>
          <w:bCs/>
          <w:color w:val="000000"/>
          <w:lang w:eastAsia="pt-BR"/>
        </w:rPr>
        <w:t xml:space="preserve">Justificativa de Desempenho Jan-Dez: </w:t>
      </w:r>
      <w:r w:rsidRPr="00D22C80">
        <w:rPr>
          <w:rFonts w:eastAsia="Times New Roman" w:cstheme="minorHAnsi"/>
          <w:color w:val="000000"/>
          <w:lang w:eastAsia="pt-BR"/>
        </w:rPr>
        <w:t xml:space="preserve">O status subestimado no resultado físico tem como causa não ser estimado Requisitórios de Pequeno Valor </w:t>
      </w:r>
      <w:proofErr w:type="gramStart"/>
      <w:r w:rsidRPr="00D22C80">
        <w:rPr>
          <w:rFonts w:eastAsia="Times New Roman" w:cstheme="minorHAnsi"/>
          <w:color w:val="000000"/>
          <w:lang w:eastAsia="pt-BR"/>
        </w:rPr>
        <w:t>na LOA</w:t>
      </w:r>
      <w:proofErr w:type="gramEnd"/>
      <w:r w:rsidRPr="00D22C80">
        <w:rPr>
          <w:rFonts w:eastAsia="Times New Roman" w:cstheme="minorHAnsi"/>
          <w:color w:val="000000"/>
          <w:lang w:eastAsia="pt-BR"/>
        </w:rPr>
        <w:t xml:space="preserve"> porém na execução, no decorrer do ano, eles são computados. Além disso, são cumpridos mandados judiciais com prazo de cobertura. </w:t>
      </w:r>
      <w:proofErr w:type="gramStart"/>
      <w:r w:rsidRPr="00D22C80">
        <w:rPr>
          <w:rFonts w:eastAsia="Times New Roman" w:cstheme="minorHAnsi"/>
          <w:color w:val="000000"/>
          <w:lang w:eastAsia="pt-BR"/>
        </w:rPr>
        <w:t>Sendo portanto</w:t>
      </w:r>
      <w:proofErr w:type="gramEnd"/>
      <w:r w:rsidRPr="00D22C80">
        <w:rPr>
          <w:rFonts w:eastAsia="Times New Roman" w:cstheme="minorHAnsi"/>
          <w:color w:val="000000"/>
          <w:lang w:eastAsia="pt-BR"/>
        </w:rPr>
        <w:t xml:space="preserve"> complexo realizar esta estimativa dentro de intervalos eficientes exigidos. </w:t>
      </w:r>
      <w:r w:rsidRPr="00D22C80">
        <w:rPr>
          <w:rFonts w:eastAsia="Times New Roman" w:cstheme="minorHAnsi"/>
          <w:color w:val="000000"/>
          <w:lang w:eastAsia="pt-BR"/>
        </w:rPr>
        <w:br/>
      </w:r>
      <w:r w:rsidRPr="00D22C80">
        <w:rPr>
          <w:rFonts w:eastAsia="Times New Roman" w:cstheme="minorHAnsi"/>
          <w:color w:val="000000"/>
          <w:lang w:eastAsia="pt-BR"/>
        </w:rPr>
        <w:br/>
      </w:r>
      <w:r w:rsidRPr="00D22C80">
        <w:rPr>
          <w:rFonts w:eastAsia="Times New Roman" w:cstheme="minorHAnsi"/>
          <w:b/>
          <w:bCs/>
          <w:color w:val="000000"/>
          <w:lang w:eastAsia="pt-BR"/>
        </w:rPr>
        <w:t xml:space="preserve">Outras informações de situação: </w:t>
      </w:r>
      <w:r w:rsidRPr="00D22C80">
        <w:rPr>
          <w:rFonts w:eastAsia="Times New Roman" w:cstheme="minorHAnsi"/>
          <w:color w:val="000000"/>
          <w:lang w:eastAsia="pt-BR"/>
        </w:rPr>
        <w:t xml:space="preserve">Nos meses de novembro e dezembros foram realizadas a quitação 9 Precatórios, 84 Requisitórios de Pequeno Valor de processos, além das despesas com pagamento de honorários advocatícios, sendo que estes devem ser atendidas dentro do prazo fixado nestes processos. </w:t>
      </w:r>
    </w:p>
    <w:p w14:paraId="56779CF1" w14:textId="77777777" w:rsidR="0079223F" w:rsidRPr="00D22C80" w:rsidRDefault="0079223F" w:rsidP="00082639">
      <w:pPr>
        <w:rPr>
          <w:rFonts w:cstheme="minorHAnsi"/>
        </w:rPr>
      </w:pPr>
    </w:p>
    <w:sectPr w:rsidR="0079223F" w:rsidRPr="00D22C80" w:rsidSect="00AD4DB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E88"/>
    <w:multiLevelType w:val="multilevel"/>
    <w:tmpl w:val="D5E6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001D"/>
    <w:multiLevelType w:val="multilevel"/>
    <w:tmpl w:val="F030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41DC8"/>
    <w:multiLevelType w:val="hybridMultilevel"/>
    <w:tmpl w:val="21DC51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725561"/>
    <w:multiLevelType w:val="multilevel"/>
    <w:tmpl w:val="888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25D9F"/>
    <w:multiLevelType w:val="multilevel"/>
    <w:tmpl w:val="C6CE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94C96"/>
    <w:multiLevelType w:val="multilevel"/>
    <w:tmpl w:val="A57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B1208"/>
    <w:multiLevelType w:val="multilevel"/>
    <w:tmpl w:val="D646E5C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3824752B"/>
    <w:multiLevelType w:val="multilevel"/>
    <w:tmpl w:val="831A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57F1D"/>
    <w:multiLevelType w:val="multilevel"/>
    <w:tmpl w:val="C2DC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E46FF"/>
    <w:multiLevelType w:val="multilevel"/>
    <w:tmpl w:val="B0DA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35307"/>
    <w:multiLevelType w:val="multilevel"/>
    <w:tmpl w:val="0142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1774B7"/>
    <w:multiLevelType w:val="multilevel"/>
    <w:tmpl w:val="CA3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87B68"/>
    <w:multiLevelType w:val="multilevel"/>
    <w:tmpl w:val="392C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531963"/>
    <w:multiLevelType w:val="multilevel"/>
    <w:tmpl w:val="66C6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45479"/>
    <w:multiLevelType w:val="multilevel"/>
    <w:tmpl w:val="EF5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AE139B"/>
    <w:multiLevelType w:val="multilevel"/>
    <w:tmpl w:val="C184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F40907"/>
    <w:multiLevelType w:val="multilevel"/>
    <w:tmpl w:val="F5D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
  </w:num>
  <w:num w:numId="4">
    <w:abstractNumId w:val="0"/>
  </w:num>
  <w:num w:numId="5">
    <w:abstractNumId w:val="10"/>
  </w:num>
  <w:num w:numId="6">
    <w:abstractNumId w:val="1"/>
  </w:num>
  <w:num w:numId="7">
    <w:abstractNumId w:val="7"/>
  </w:num>
  <w:num w:numId="8">
    <w:abstractNumId w:val="14"/>
  </w:num>
  <w:num w:numId="9">
    <w:abstractNumId w:val="13"/>
  </w:num>
  <w:num w:numId="10">
    <w:abstractNumId w:val="11"/>
  </w:num>
  <w:num w:numId="11">
    <w:abstractNumId w:val="15"/>
  </w:num>
  <w:num w:numId="12">
    <w:abstractNumId w:val="6"/>
  </w:num>
  <w:num w:numId="13">
    <w:abstractNumId w:val="12"/>
  </w:num>
  <w:num w:numId="14">
    <w:abstractNumId w:val="5"/>
  </w:num>
  <w:num w:numId="15">
    <w:abstractNumId w:val="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BF"/>
    <w:rsid w:val="00082639"/>
    <w:rsid w:val="001C3749"/>
    <w:rsid w:val="001C448F"/>
    <w:rsid w:val="001D5A32"/>
    <w:rsid w:val="002F46E4"/>
    <w:rsid w:val="00320B75"/>
    <w:rsid w:val="00325962"/>
    <w:rsid w:val="0036530E"/>
    <w:rsid w:val="0042126F"/>
    <w:rsid w:val="00435386"/>
    <w:rsid w:val="0043753F"/>
    <w:rsid w:val="0047453F"/>
    <w:rsid w:val="004828E7"/>
    <w:rsid w:val="005F575E"/>
    <w:rsid w:val="00610D7E"/>
    <w:rsid w:val="00613B0D"/>
    <w:rsid w:val="00696514"/>
    <w:rsid w:val="00783BE7"/>
    <w:rsid w:val="0079223F"/>
    <w:rsid w:val="007A65B4"/>
    <w:rsid w:val="007D6F79"/>
    <w:rsid w:val="00825E21"/>
    <w:rsid w:val="00877771"/>
    <w:rsid w:val="009D6E11"/>
    <w:rsid w:val="00A04868"/>
    <w:rsid w:val="00A361E2"/>
    <w:rsid w:val="00A430C0"/>
    <w:rsid w:val="00A438C5"/>
    <w:rsid w:val="00AD4DBF"/>
    <w:rsid w:val="00B70E6B"/>
    <w:rsid w:val="00B7410F"/>
    <w:rsid w:val="00BF2E48"/>
    <w:rsid w:val="00CC783F"/>
    <w:rsid w:val="00CF05C1"/>
    <w:rsid w:val="00D22C80"/>
    <w:rsid w:val="00D87300"/>
    <w:rsid w:val="00DF78EF"/>
    <w:rsid w:val="00F37EA5"/>
    <w:rsid w:val="00FC6A55"/>
    <w:rsid w:val="00FF1B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D6DA"/>
  <w15:chartTrackingRefBased/>
  <w15:docId w15:val="{537F805B-FD07-4891-8BB2-B6B66983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D4DBF"/>
    <w:rPr>
      <w:b/>
      <w:bCs/>
    </w:rPr>
  </w:style>
  <w:style w:type="paragraph" w:styleId="PargrafodaLista">
    <w:name w:val="List Paragraph"/>
    <w:basedOn w:val="Normal"/>
    <w:uiPriority w:val="34"/>
    <w:qFormat/>
    <w:rsid w:val="0048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9272">
      <w:bodyDiv w:val="1"/>
      <w:marLeft w:val="0"/>
      <w:marRight w:val="0"/>
      <w:marTop w:val="0"/>
      <w:marBottom w:val="0"/>
      <w:divBdr>
        <w:top w:val="none" w:sz="0" w:space="0" w:color="auto"/>
        <w:left w:val="none" w:sz="0" w:space="0" w:color="auto"/>
        <w:bottom w:val="none" w:sz="0" w:space="0" w:color="auto"/>
        <w:right w:val="none" w:sz="0" w:space="0" w:color="auto"/>
      </w:divBdr>
      <w:divsChild>
        <w:div w:id="1385063898">
          <w:marLeft w:val="0"/>
          <w:marRight w:val="0"/>
          <w:marTop w:val="0"/>
          <w:marBottom w:val="0"/>
          <w:divBdr>
            <w:top w:val="none" w:sz="0" w:space="0" w:color="auto"/>
            <w:left w:val="none" w:sz="0" w:space="0" w:color="auto"/>
            <w:bottom w:val="none" w:sz="0" w:space="0" w:color="auto"/>
            <w:right w:val="none" w:sz="0" w:space="0" w:color="auto"/>
          </w:divBdr>
        </w:div>
      </w:divsChild>
    </w:div>
    <w:div w:id="112285805">
      <w:bodyDiv w:val="1"/>
      <w:marLeft w:val="0"/>
      <w:marRight w:val="0"/>
      <w:marTop w:val="0"/>
      <w:marBottom w:val="0"/>
      <w:divBdr>
        <w:top w:val="none" w:sz="0" w:space="0" w:color="auto"/>
        <w:left w:val="none" w:sz="0" w:space="0" w:color="auto"/>
        <w:bottom w:val="none" w:sz="0" w:space="0" w:color="auto"/>
        <w:right w:val="none" w:sz="0" w:space="0" w:color="auto"/>
      </w:divBdr>
      <w:divsChild>
        <w:div w:id="1815439567">
          <w:marLeft w:val="0"/>
          <w:marRight w:val="0"/>
          <w:marTop w:val="0"/>
          <w:marBottom w:val="0"/>
          <w:divBdr>
            <w:top w:val="none" w:sz="0" w:space="0" w:color="auto"/>
            <w:left w:val="none" w:sz="0" w:space="0" w:color="auto"/>
            <w:bottom w:val="none" w:sz="0" w:space="0" w:color="auto"/>
            <w:right w:val="none" w:sz="0" w:space="0" w:color="auto"/>
          </w:divBdr>
        </w:div>
      </w:divsChild>
    </w:div>
    <w:div w:id="464469639">
      <w:bodyDiv w:val="1"/>
      <w:marLeft w:val="0"/>
      <w:marRight w:val="0"/>
      <w:marTop w:val="0"/>
      <w:marBottom w:val="0"/>
      <w:divBdr>
        <w:top w:val="none" w:sz="0" w:space="0" w:color="auto"/>
        <w:left w:val="none" w:sz="0" w:space="0" w:color="auto"/>
        <w:bottom w:val="none" w:sz="0" w:space="0" w:color="auto"/>
        <w:right w:val="none" w:sz="0" w:space="0" w:color="auto"/>
      </w:divBdr>
      <w:divsChild>
        <w:div w:id="322782030">
          <w:marLeft w:val="0"/>
          <w:marRight w:val="0"/>
          <w:marTop w:val="0"/>
          <w:marBottom w:val="0"/>
          <w:divBdr>
            <w:top w:val="none" w:sz="0" w:space="0" w:color="auto"/>
            <w:left w:val="none" w:sz="0" w:space="0" w:color="auto"/>
            <w:bottom w:val="none" w:sz="0" w:space="0" w:color="auto"/>
            <w:right w:val="none" w:sz="0" w:space="0" w:color="auto"/>
          </w:divBdr>
        </w:div>
      </w:divsChild>
    </w:div>
    <w:div w:id="535629663">
      <w:bodyDiv w:val="1"/>
      <w:marLeft w:val="0"/>
      <w:marRight w:val="0"/>
      <w:marTop w:val="0"/>
      <w:marBottom w:val="0"/>
      <w:divBdr>
        <w:top w:val="none" w:sz="0" w:space="0" w:color="auto"/>
        <w:left w:val="none" w:sz="0" w:space="0" w:color="auto"/>
        <w:bottom w:val="none" w:sz="0" w:space="0" w:color="auto"/>
        <w:right w:val="none" w:sz="0" w:space="0" w:color="auto"/>
      </w:divBdr>
      <w:divsChild>
        <w:div w:id="1713580763">
          <w:marLeft w:val="0"/>
          <w:marRight w:val="0"/>
          <w:marTop w:val="0"/>
          <w:marBottom w:val="0"/>
          <w:divBdr>
            <w:top w:val="none" w:sz="0" w:space="0" w:color="auto"/>
            <w:left w:val="none" w:sz="0" w:space="0" w:color="auto"/>
            <w:bottom w:val="none" w:sz="0" w:space="0" w:color="auto"/>
            <w:right w:val="none" w:sz="0" w:space="0" w:color="auto"/>
          </w:divBdr>
        </w:div>
      </w:divsChild>
    </w:div>
    <w:div w:id="551697837">
      <w:bodyDiv w:val="1"/>
      <w:marLeft w:val="0"/>
      <w:marRight w:val="0"/>
      <w:marTop w:val="0"/>
      <w:marBottom w:val="0"/>
      <w:divBdr>
        <w:top w:val="none" w:sz="0" w:space="0" w:color="auto"/>
        <w:left w:val="none" w:sz="0" w:space="0" w:color="auto"/>
        <w:bottom w:val="none" w:sz="0" w:space="0" w:color="auto"/>
        <w:right w:val="none" w:sz="0" w:space="0" w:color="auto"/>
      </w:divBdr>
      <w:divsChild>
        <w:div w:id="828407637">
          <w:marLeft w:val="0"/>
          <w:marRight w:val="0"/>
          <w:marTop w:val="0"/>
          <w:marBottom w:val="0"/>
          <w:divBdr>
            <w:top w:val="none" w:sz="0" w:space="0" w:color="auto"/>
            <w:left w:val="none" w:sz="0" w:space="0" w:color="auto"/>
            <w:bottom w:val="none" w:sz="0" w:space="0" w:color="auto"/>
            <w:right w:val="none" w:sz="0" w:space="0" w:color="auto"/>
          </w:divBdr>
        </w:div>
      </w:divsChild>
    </w:div>
    <w:div w:id="768082341">
      <w:bodyDiv w:val="1"/>
      <w:marLeft w:val="0"/>
      <w:marRight w:val="0"/>
      <w:marTop w:val="0"/>
      <w:marBottom w:val="0"/>
      <w:divBdr>
        <w:top w:val="none" w:sz="0" w:space="0" w:color="auto"/>
        <w:left w:val="none" w:sz="0" w:space="0" w:color="auto"/>
        <w:bottom w:val="none" w:sz="0" w:space="0" w:color="auto"/>
        <w:right w:val="none" w:sz="0" w:space="0" w:color="auto"/>
      </w:divBdr>
      <w:divsChild>
        <w:div w:id="1916239121">
          <w:marLeft w:val="0"/>
          <w:marRight w:val="0"/>
          <w:marTop w:val="0"/>
          <w:marBottom w:val="0"/>
          <w:divBdr>
            <w:top w:val="none" w:sz="0" w:space="0" w:color="auto"/>
            <w:left w:val="none" w:sz="0" w:space="0" w:color="auto"/>
            <w:bottom w:val="none" w:sz="0" w:space="0" w:color="auto"/>
            <w:right w:val="none" w:sz="0" w:space="0" w:color="auto"/>
          </w:divBdr>
        </w:div>
      </w:divsChild>
    </w:div>
    <w:div w:id="1110316805">
      <w:bodyDiv w:val="1"/>
      <w:marLeft w:val="0"/>
      <w:marRight w:val="0"/>
      <w:marTop w:val="0"/>
      <w:marBottom w:val="0"/>
      <w:divBdr>
        <w:top w:val="none" w:sz="0" w:space="0" w:color="auto"/>
        <w:left w:val="none" w:sz="0" w:space="0" w:color="auto"/>
        <w:bottom w:val="none" w:sz="0" w:space="0" w:color="auto"/>
        <w:right w:val="none" w:sz="0" w:space="0" w:color="auto"/>
      </w:divBdr>
      <w:divsChild>
        <w:div w:id="1510827664">
          <w:marLeft w:val="0"/>
          <w:marRight w:val="0"/>
          <w:marTop w:val="0"/>
          <w:marBottom w:val="0"/>
          <w:divBdr>
            <w:top w:val="none" w:sz="0" w:space="0" w:color="auto"/>
            <w:left w:val="none" w:sz="0" w:space="0" w:color="auto"/>
            <w:bottom w:val="none" w:sz="0" w:space="0" w:color="auto"/>
            <w:right w:val="none" w:sz="0" w:space="0" w:color="auto"/>
          </w:divBdr>
        </w:div>
      </w:divsChild>
    </w:div>
    <w:div w:id="1111054549">
      <w:bodyDiv w:val="1"/>
      <w:marLeft w:val="0"/>
      <w:marRight w:val="0"/>
      <w:marTop w:val="0"/>
      <w:marBottom w:val="0"/>
      <w:divBdr>
        <w:top w:val="none" w:sz="0" w:space="0" w:color="auto"/>
        <w:left w:val="none" w:sz="0" w:space="0" w:color="auto"/>
        <w:bottom w:val="none" w:sz="0" w:space="0" w:color="auto"/>
        <w:right w:val="none" w:sz="0" w:space="0" w:color="auto"/>
      </w:divBdr>
      <w:divsChild>
        <w:div w:id="439909830">
          <w:marLeft w:val="0"/>
          <w:marRight w:val="0"/>
          <w:marTop w:val="0"/>
          <w:marBottom w:val="0"/>
          <w:divBdr>
            <w:top w:val="none" w:sz="0" w:space="0" w:color="auto"/>
            <w:left w:val="none" w:sz="0" w:space="0" w:color="auto"/>
            <w:bottom w:val="none" w:sz="0" w:space="0" w:color="auto"/>
            <w:right w:val="none" w:sz="0" w:space="0" w:color="auto"/>
          </w:divBdr>
        </w:div>
      </w:divsChild>
    </w:div>
    <w:div w:id="1202792117">
      <w:bodyDiv w:val="1"/>
      <w:marLeft w:val="0"/>
      <w:marRight w:val="0"/>
      <w:marTop w:val="0"/>
      <w:marBottom w:val="0"/>
      <w:divBdr>
        <w:top w:val="none" w:sz="0" w:space="0" w:color="auto"/>
        <w:left w:val="none" w:sz="0" w:space="0" w:color="auto"/>
        <w:bottom w:val="none" w:sz="0" w:space="0" w:color="auto"/>
        <w:right w:val="none" w:sz="0" w:space="0" w:color="auto"/>
      </w:divBdr>
      <w:divsChild>
        <w:div w:id="353314734">
          <w:marLeft w:val="0"/>
          <w:marRight w:val="0"/>
          <w:marTop w:val="0"/>
          <w:marBottom w:val="0"/>
          <w:divBdr>
            <w:top w:val="none" w:sz="0" w:space="0" w:color="auto"/>
            <w:left w:val="none" w:sz="0" w:space="0" w:color="auto"/>
            <w:bottom w:val="none" w:sz="0" w:space="0" w:color="auto"/>
            <w:right w:val="none" w:sz="0" w:space="0" w:color="auto"/>
          </w:divBdr>
        </w:div>
      </w:divsChild>
    </w:div>
    <w:div w:id="1215777153">
      <w:bodyDiv w:val="1"/>
      <w:marLeft w:val="0"/>
      <w:marRight w:val="0"/>
      <w:marTop w:val="0"/>
      <w:marBottom w:val="0"/>
      <w:divBdr>
        <w:top w:val="none" w:sz="0" w:space="0" w:color="auto"/>
        <w:left w:val="none" w:sz="0" w:space="0" w:color="auto"/>
        <w:bottom w:val="none" w:sz="0" w:space="0" w:color="auto"/>
        <w:right w:val="none" w:sz="0" w:space="0" w:color="auto"/>
      </w:divBdr>
      <w:divsChild>
        <w:div w:id="1652098327">
          <w:marLeft w:val="0"/>
          <w:marRight w:val="0"/>
          <w:marTop w:val="0"/>
          <w:marBottom w:val="0"/>
          <w:divBdr>
            <w:top w:val="none" w:sz="0" w:space="0" w:color="auto"/>
            <w:left w:val="none" w:sz="0" w:space="0" w:color="auto"/>
            <w:bottom w:val="none" w:sz="0" w:space="0" w:color="auto"/>
            <w:right w:val="none" w:sz="0" w:space="0" w:color="auto"/>
          </w:divBdr>
        </w:div>
      </w:divsChild>
    </w:div>
    <w:div w:id="1243880539">
      <w:bodyDiv w:val="1"/>
      <w:marLeft w:val="0"/>
      <w:marRight w:val="0"/>
      <w:marTop w:val="0"/>
      <w:marBottom w:val="0"/>
      <w:divBdr>
        <w:top w:val="none" w:sz="0" w:space="0" w:color="auto"/>
        <w:left w:val="none" w:sz="0" w:space="0" w:color="auto"/>
        <w:bottom w:val="none" w:sz="0" w:space="0" w:color="auto"/>
        <w:right w:val="none" w:sz="0" w:space="0" w:color="auto"/>
      </w:divBdr>
      <w:divsChild>
        <w:div w:id="1309289637">
          <w:marLeft w:val="0"/>
          <w:marRight w:val="0"/>
          <w:marTop w:val="0"/>
          <w:marBottom w:val="0"/>
          <w:divBdr>
            <w:top w:val="none" w:sz="0" w:space="0" w:color="auto"/>
            <w:left w:val="none" w:sz="0" w:space="0" w:color="auto"/>
            <w:bottom w:val="none" w:sz="0" w:space="0" w:color="auto"/>
            <w:right w:val="none" w:sz="0" w:space="0" w:color="auto"/>
          </w:divBdr>
        </w:div>
      </w:divsChild>
    </w:div>
    <w:div w:id="1489980666">
      <w:bodyDiv w:val="1"/>
      <w:marLeft w:val="0"/>
      <w:marRight w:val="0"/>
      <w:marTop w:val="0"/>
      <w:marBottom w:val="0"/>
      <w:divBdr>
        <w:top w:val="none" w:sz="0" w:space="0" w:color="auto"/>
        <w:left w:val="none" w:sz="0" w:space="0" w:color="auto"/>
        <w:bottom w:val="none" w:sz="0" w:space="0" w:color="auto"/>
        <w:right w:val="none" w:sz="0" w:space="0" w:color="auto"/>
      </w:divBdr>
      <w:divsChild>
        <w:div w:id="556939844">
          <w:marLeft w:val="0"/>
          <w:marRight w:val="0"/>
          <w:marTop w:val="0"/>
          <w:marBottom w:val="0"/>
          <w:divBdr>
            <w:top w:val="none" w:sz="0" w:space="0" w:color="auto"/>
            <w:left w:val="none" w:sz="0" w:space="0" w:color="auto"/>
            <w:bottom w:val="none" w:sz="0" w:space="0" w:color="auto"/>
            <w:right w:val="none" w:sz="0" w:space="0" w:color="auto"/>
          </w:divBdr>
        </w:div>
      </w:divsChild>
    </w:div>
    <w:div w:id="1582788640">
      <w:bodyDiv w:val="1"/>
      <w:marLeft w:val="0"/>
      <w:marRight w:val="0"/>
      <w:marTop w:val="0"/>
      <w:marBottom w:val="0"/>
      <w:divBdr>
        <w:top w:val="none" w:sz="0" w:space="0" w:color="auto"/>
        <w:left w:val="none" w:sz="0" w:space="0" w:color="auto"/>
        <w:bottom w:val="none" w:sz="0" w:space="0" w:color="auto"/>
        <w:right w:val="none" w:sz="0" w:space="0" w:color="auto"/>
      </w:divBdr>
      <w:divsChild>
        <w:div w:id="1552694509">
          <w:marLeft w:val="0"/>
          <w:marRight w:val="0"/>
          <w:marTop w:val="0"/>
          <w:marBottom w:val="0"/>
          <w:divBdr>
            <w:top w:val="none" w:sz="0" w:space="0" w:color="auto"/>
            <w:left w:val="none" w:sz="0" w:space="0" w:color="auto"/>
            <w:bottom w:val="none" w:sz="0" w:space="0" w:color="auto"/>
            <w:right w:val="none" w:sz="0" w:space="0" w:color="auto"/>
          </w:divBdr>
        </w:div>
      </w:divsChild>
    </w:div>
    <w:div w:id="1624652523">
      <w:bodyDiv w:val="1"/>
      <w:marLeft w:val="0"/>
      <w:marRight w:val="0"/>
      <w:marTop w:val="0"/>
      <w:marBottom w:val="0"/>
      <w:divBdr>
        <w:top w:val="none" w:sz="0" w:space="0" w:color="auto"/>
        <w:left w:val="none" w:sz="0" w:space="0" w:color="auto"/>
        <w:bottom w:val="none" w:sz="0" w:space="0" w:color="auto"/>
        <w:right w:val="none" w:sz="0" w:space="0" w:color="auto"/>
      </w:divBdr>
      <w:divsChild>
        <w:div w:id="683164499">
          <w:marLeft w:val="0"/>
          <w:marRight w:val="0"/>
          <w:marTop w:val="0"/>
          <w:marBottom w:val="0"/>
          <w:divBdr>
            <w:top w:val="none" w:sz="0" w:space="0" w:color="auto"/>
            <w:left w:val="none" w:sz="0" w:space="0" w:color="auto"/>
            <w:bottom w:val="none" w:sz="0" w:space="0" w:color="auto"/>
            <w:right w:val="none" w:sz="0" w:space="0" w:color="auto"/>
          </w:divBdr>
        </w:div>
      </w:divsChild>
    </w:div>
    <w:div w:id="1979844497">
      <w:bodyDiv w:val="1"/>
      <w:marLeft w:val="0"/>
      <w:marRight w:val="0"/>
      <w:marTop w:val="0"/>
      <w:marBottom w:val="0"/>
      <w:divBdr>
        <w:top w:val="none" w:sz="0" w:space="0" w:color="auto"/>
        <w:left w:val="none" w:sz="0" w:space="0" w:color="auto"/>
        <w:bottom w:val="none" w:sz="0" w:space="0" w:color="auto"/>
        <w:right w:val="none" w:sz="0" w:space="0" w:color="auto"/>
      </w:divBdr>
      <w:divsChild>
        <w:div w:id="2108690146">
          <w:marLeft w:val="0"/>
          <w:marRight w:val="0"/>
          <w:marTop w:val="0"/>
          <w:marBottom w:val="0"/>
          <w:divBdr>
            <w:top w:val="none" w:sz="0" w:space="0" w:color="auto"/>
            <w:left w:val="none" w:sz="0" w:space="0" w:color="auto"/>
            <w:bottom w:val="none" w:sz="0" w:space="0" w:color="auto"/>
            <w:right w:val="none" w:sz="0" w:space="0" w:color="auto"/>
          </w:divBdr>
        </w:div>
      </w:divsChild>
    </w:div>
    <w:div w:id="2083988923">
      <w:bodyDiv w:val="1"/>
      <w:marLeft w:val="0"/>
      <w:marRight w:val="0"/>
      <w:marTop w:val="0"/>
      <w:marBottom w:val="0"/>
      <w:divBdr>
        <w:top w:val="none" w:sz="0" w:space="0" w:color="auto"/>
        <w:left w:val="none" w:sz="0" w:space="0" w:color="auto"/>
        <w:bottom w:val="none" w:sz="0" w:space="0" w:color="auto"/>
        <w:right w:val="none" w:sz="0" w:space="0" w:color="auto"/>
      </w:divBdr>
      <w:divsChild>
        <w:div w:id="1528716101">
          <w:marLeft w:val="0"/>
          <w:marRight w:val="0"/>
          <w:marTop w:val="0"/>
          <w:marBottom w:val="0"/>
          <w:divBdr>
            <w:top w:val="none" w:sz="0" w:space="0" w:color="auto"/>
            <w:left w:val="none" w:sz="0" w:space="0" w:color="auto"/>
            <w:bottom w:val="none" w:sz="0" w:space="0" w:color="auto"/>
            <w:right w:val="none" w:sz="0" w:space="0" w:color="auto"/>
          </w:divBdr>
        </w:div>
      </w:divsChild>
    </w:div>
    <w:div w:id="2120295069">
      <w:bodyDiv w:val="1"/>
      <w:marLeft w:val="0"/>
      <w:marRight w:val="0"/>
      <w:marTop w:val="0"/>
      <w:marBottom w:val="0"/>
      <w:divBdr>
        <w:top w:val="none" w:sz="0" w:space="0" w:color="auto"/>
        <w:left w:val="none" w:sz="0" w:space="0" w:color="auto"/>
        <w:bottom w:val="none" w:sz="0" w:space="0" w:color="auto"/>
        <w:right w:val="none" w:sz="0" w:space="0" w:color="auto"/>
      </w:divBdr>
      <w:divsChild>
        <w:div w:id="165926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669</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Maria de Araujo Oliveira</dc:creator>
  <cp:keywords/>
  <dc:description/>
  <cp:lastModifiedBy>Cleunice Soares de Oliveira</cp:lastModifiedBy>
  <cp:revision>27</cp:revision>
  <dcterms:created xsi:type="dcterms:W3CDTF">2022-04-18T15:42:00Z</dcterms:created>
  <dcterms:modified xsi:type="dcterms:W3CDTF">2024-02-29T16:52:00Z</dcterms:modified>
</cp:coreProperties>
</file>