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D1C3" w14:textId="77777777" w:rsidR="00755F30" w:rsidRDefault="00651F14" w:rsidP="00651F14">
      <w:r>
        <w:rPr>
          <w:noProof/>
          <w:lang w:eastAsia="pt-BR"/>
        </w:rPr>
        <w:drawing>
          <wp:inline distT="0" distB="0" distL="0" distR="0" wp14:anchorId="5691A3C2" wp14:editId="2C442AA9">
            <wp:extent cx="8891270" cy="6020435"/>
            <wp:effectExtent l="0" t="0" r="508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891270" cy="6020435"/>
                    </a:xfrm>
                    <a:prstGeom prst="rect">
                      <a:avLst/>
                    </a:prstGeom>
                  </pic:spPr>
                </pic:pic>
              </a:graphicData>
            </a:graphic>
          </wp:inline>
        </w:drawing>
      </w:r>
    </w:p>
    <w:tbl>
      <w:tblPr>
        <w:tblW w:w="12750" w:type="dxa"/>
        <w:jc w:val="center"/>
        <w:tblCellSpacing w:w="0" w:type="dxa"/>
        <w:tblCellMar>
          <w:top w:w="15" w:type="dxa"/>
          <w:left w:w="15" w:type="dxa"/>
          <w:bottom w:w="15" w:type="dxa"/>
          <w:right w:w="15" w:type="dxa"/>
        </w:tblCellMar>
        <w:tblLook w:val="04A0" w:firstRow="1" w:lastRow="0" w:firstColumn="1" w:lastColumn="0" w:noHBand="0" w:noVBand="1"/>
      </w:tblPr>
      <w:tblGrid>
        <w:gridCol w:w="11475"/>
        <w:gridCol w:w="1275"/>
      </w:tblGrid>
      <w:tr w:rsidR="00C32DC0" w:rsidRPr="00C32DC0" w14:paraId="6942FCA6" w14:textId="77777777" w:rsidTr="00C32DC0">
        <w:trPr>
          <w:trHeight w:val="375"/>
          <w:tblCellSpacing w:w="0" w:type="dxa"/>
          <w:jc w:val="center"/>
        </w:trPr>
        <w:tc>
          <w:tcPr>
            <w:tcW w:w="4500" w:type="pct"/>
            <w:tcBorders>
              <w:top w:val="nil"/>
              <w:left w:val="nil"/>
              <w:bottom w:val="nil"/>
              <w:right w:val="nil"/>
            </w:tcBorders>
            <w:shd w:val="clear" w:color="auto" w:fill="95B3D7"/>
            <w:vAlign w:val="center"/>
            <w:hideMark/>
          </w:tcPr>
          <w:p w14:paraId="2158066D" w14:textId="77777777" w:rsidR="00C32DC0" w:rsidRPr="00C32DC0" w:rsidRDefault="00C32DC0" w:rsidP="00C32DC0">
            <w:r w:rsidRPr="00C32DC0">
              <w:rPr>
                <w:b/>
                <w:bCs/>
              </w:rPr>
              <w:lastRenderedPageBreak/>
              <w:t>Ação: 4540 - DESENVOLVIMENTO DO PROGRAMA DE SANGUE E HEMODERIVADOS</w:t>
            </w:r>
            <w:r w:rsidRPr="00C32DC0">
              <w:t xml:space="preserve"> </w:t>
            </w:r>
          </w:p>
        </w:tc>
        <w:tc>
          <w:tcPr>
            <w:tcW w:w="500" w:type="pct"/>
            <w:tcBorders>
              <w:top w:val="nil"/>
              <w:left w:val="nil"/>
              <w:bottom w:val="nil"/>
              <w:right w:val="nil"/>
            </w:tcBorders>
            <w:shd w:val="clear" w:color="auto" w:fill="95B3D7"/>
            <w:vAlign w:val="center"/>
            <w:hideMark/>
          </w:tcPr>
          <w:p w14:paraId="48FB3C3E" w14:textId="77777777" w:rsidR="00C32DC0" w:rsidRPr="00C32DC0" w:rsidRDefault="00C32DC0" w:rsidP="00C32DC0">
            <w:r w:rsidRPr="00C32DC0">
              <w:rPr>
                <w:b/>
                <w:bCs/>
              </w:rPr>
              <w:t>IAG: 0 </w:t>
            </w:r>
          </w:p>
        </w:tc>
      </w:tr>
    </w:tbl>
    <w:p w14:paraId="49E35C3F" w14:textId="77777777" w:rsidR="00C32DC0" w:rsidRPr="00C32DC0" w:rsidRDefault="00C32DC0" w:rsidP="00C32DC0">
      <w:pPr>
        <w:numPr>
          <w:ilvl w:val="0"/>
          <w:numId w:val="13"/>
        </w:numPr>
      </w:pPr>
      <w:r w:rsidRPr="00C32DC0">
        <w:rPr>
          <w:b/>
          <w:bCs/>
        </w:rPr>
        <w:t>Primeiro Bimestre</w:t>
      </w:r>
      <w:r w:rsidRPr="00C32DC0">
        <w:t xml:space="preserve"> </w:t>
      </w:r>
    </w:p>
    <w:p w14:paraId="3256C4F7" w14:textId="77777777" w:rsidR="00C32DC0" w:rsidRPr="00C32DC0" w:rsidRDefault="00C32DC0" w:rsidP="00C32DC0">
      <w:pPr>
        <w:ind w:firstLine="708"/>
      </w:pPr>
      <w:r w:rsidRPr="00C32DC0">
        <w:rPr>
          <w:b/>
          <w:bCs/>
        </w:rPr>
        <w:t>Justificativa de Desempenho Jan-</w:t>
      </w:r>
      <w:proofErr w:type="spellStart"/>
      <w:r w:rsidRPr="00C32DC0">
        <w:rPr>
          <w:b/>
          <w:bCs/>
        </w:rPr>
        <w:t>Fev</w:t>
      </w:r>
      <w:proofErr w:type="spellEnd"/>
      <w:r w:rsidRPr="00C32DC0">
        <w:rPr>
          <w:b/>
          <w:bCs/>
        </w:rPr>
        <w:t xml:space="preserve">: </w:t>
      </w:r>
    </w:p>
    <w:p w14:paraId="45CEF6AC" w14:textId="77777777" w:rsidR="00C32DC0" w:rsidRPr="00C32DC0" w:rsidRDefault="00C32DC0" w:rsidP="00C32DC0">
      <w:pPr>
        <w:ind w:left="708"/>
      </w:pPr>
      <w:r w:rsidRPr="00C32DC0">
        <w:rPr>
          <w:b/>
          <w:bCs/>
        </w:rPr>
        <w:t xml:space="preserve">Outras informações de situação: </w:t>
      </w:r>
      <w:r w:rsidRPr="00C32DC0">
        <w:t xml:space="preserve">Neste bimestre ocorreu, nesta ação, suplementação por saldo financeiro do Convênio n° 794378/2013, firmado em 13 de novembro de 2014, entre a Fundação Centro de Hematologia e Hemoterapia de Minas Gerais e o Ministério da Saúde, no valor de R$331.213,53 (trezentos e trinta e um mil duzentos e treze reais e cinquenta e três centavos) na fonte 24.1, e também por saldo financeiro o valor da contrapartida, na 10.3, foi de R$37.099,97 (trinta e sete mil noventa e nove reais e noventa e sete centavos). </w:t>
      </w:r>
      <w:proofErr w:type="gramStart"/>
      <w:r w:rsidRPr="00C32DC0">
        <w:t>( decreto</w:t>
      </w:r>
      <w:proofErr w:type="gramEnd"/>
      <w:r w:rsidRPr="00C32DC0">
        <w:t xml:space="preserve"> SIMG 12 com data de publicação 23/02/23.</w:t>
      </w:r>
      <w:r w:rsidRPr="00C32DC0">
        <w:br/>
      </w:r>
      <w:r w:rsidRPr="00C32DC0">
        <w:br/>
        <w:t>No primeiro bimestre/2023 foram produzidos 119.796 hemocomponentes, percebem</w:t>
      </w:r>
      <w:r>
        <w:t>os que quando comparamos com o ú</w:t>
      </w:r>
      <w:r w:rsidRPr="00C32DC0">
        <w:t>ltimo bimestre/2022 (111.913), houve aumento na produção de 7.883 hemocomponentes ou seja cerca de 7,04%</w:t>
      </w:r>
      <w:r w:rsidRPr="00C32DC0">
        <w:br/>
      </w:r>
      <w:r w:rsidRPr="00C32DC0">
        <w:br/>
        <w:t xml:space="preserve">Os resultados alcançados neste primeiro bimestre de 2023, mostram aumento na produção de hemocomponentes proporcional ao número de bolsas coletas. A meta para o bimestre foi alcançada principalmente devido a intensificação de coletas externas, abertura das Unidades em horários alternativos como coletas noturnas, aos sábados, feriados e pontos facultativos e implantação de novos </w:t>
      </w:r>
      <w:proofErr w:type="spellStart"/>
      <w:r w:rsidRPr="00C32DC0">
        <w:t>PACEs</w:t>
      </w:r>
      <w:proofErr w:type="spellEnd"/>
      <w:r w:rsidRPr="00C32DC0">
        <w:t>.</w:t>
      </w:r>
    </w:p>
    <w:p w14:paraId="2FD9EE24" w14:textId="3C738998" w:rsidR="00651F14" w:rsidRDefault="00651F14" w:rsidP="00651F14"/>
    <w:p w14:paraId="3772726C" w14:textId="3C9C69C8" w:rsidR="00CF605F" w:rsidRDefault="00CF605F" w:rsidP="00651F14"/>
    <w:p w14:paraId="5793019C" w14:textId="3DB1A35A" w:rsidR="00CF605F" w:rsidRDefault="00CF605F" w:rsidP="00651F14"/>
    <w:p w14:paraId="62D479D4" w14:textId="61A8802B" w:rsidR="00CF605F" w:rsidRDefault="00CF605F" w:rsidP="00651F14">
      <w:r>
        <w:rPr>
          <w:noProof/>
        </w:rPr>
        <w:lastRenderedPageBreak/>
        <w:drawing>
          <wp:inline distT="0" distB="0" distL="0" distR="0" wp14:anchorId="5D7D98B5" wp14:editId="1B1DCF5A">
            <wp:extent cx="8891270" cy="5561330"/>
            <wp:effectExtent l="0" t="0" r="508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91270" cy="5561330"/>
                    </a:xfrm>
                    <a:prstGeom prst="rect">
                      <a:avLst/>
                    </a:prstGeom>
                  </pic:spPr>
                </pic:pic>
              </a:graphicData>
            </a:graphic>
          </wp:inline>
        </w:drawing>
      </w:r>
    </w:p>
    <w:p w14:paraId="1849CE9C" w14:textId="75933987" w:rsidR="00CF605F" w:rsidRDefault="00CF605F" w:rsidP="00651F14"/>
    <w:tbl>
      <w:tblPr>
        <w:tblW w:w="12750" w:type="dxa"/>
        <w:jc w:val="center"/>
        <w:tblCellSpacing w:w="0" w:type="dxa"/>
        <w:tblCellMar>
          <w:top w:w="10" w:type="dxa"/>
          <w:left w:w="10" w:type="dxa"/>
          <w:bottom w:w="10" w:type="dxa"/>
          <w:right w:w="10" w:type="dxa"/>
        </w:tblCellMar>
        <w:tblLook w:val="04A0" w:firstRow="1" w:lastRow="0" w:firstColumn="1" w:lastColumn="0" w:noHBand="0" w:noVBand="1"/>
      </w:tblPr>
      <w:tblGrid>
        <w:gridCol w:w="11475"/>
        <w:gridCol w:w="1275"/>
      </w:tblGrid>
      <w:tr w:rsidR="007B39E3" w:rsidRPr="007B39E3" w14:paraId="2FB83AB0" w14:textId="77777777" w:rsidTr="007B39E3">
        <w:trPr>
          <w:trHeight w:val="250"/>
          <w:tblCellSpacing w:w="0" w:type="dxa"/>
          <w:jc w:val="center"/>
        </w:trPr>
        <w:tc>
          <w:tcPr>
            <w:tcW w:w="4500" w:type="pct"/>
            <w:tcBorders>
              <w:top w:val="nil"/>
              <w:left w:val="nil"/>
              <w:bottom w:val="nil"/>
              <w:right w:val="nil"/>
            </w:tcBorders>
            <w:shd w:val="clear" w:color="auto" w:fill="95B3D7"/>
            <w:vAlign w:val="center"/>
            <w:hideMark/>
          </w:tcPr>
          <w:p w14:paraId="06876198" w14:textId="77777777" w:rsidR="007B39E3" w:rsidRPr="007B39E3" w:rsidRDefault="007B39E3" w:rsidP="007B39E3">
            <w:pPr>
              <w:spacing w:after="0" w:line="240" w:lineRule="auto"/>
              <w:rPr>
                <w:rFonts w:eastAsia="Times New Roman" w:cstheme="minorHAnsi"/>
                <w:color w:val="000000"/>
                <w:lang w:eastAsia="pt-BR"/>
              </w:rPr>
            </w:pPr>
            <w:r w:rsidRPr="007B39E3">
              <w:rPr>
                <w:rFonts w:eastAsia="Times New Roman" w:cstheme="minorHAnsi"/>
                <w:b/>
                <w:bCs/>
                <w:color w:val="000000"/>
                <w:lang w:eastAsia="pt-BR"/>
              </w:rPr>
              <w:lastRenderedPageBreak/>
              <w:t>Ação: 4540 - DESENVOLVIMENTO DO PROGRAMA DE SANGUE E HEMODERIVADOS</w:t>
            </w:r>
            <w:r w:rsidRPr="007B39E3">
              <w:rPr>
                <w:rFonts w:eastAsia="Times New Roman" w:cstheme="minorHAnsi"/>
                <w:color w:val="000000"/>
                <w:lang w:eastAsia="pt-BR"/>
              </w:rPr>
              <w:t xml:space="preserve"> </w:t>
            </w:r>
          </w:p>
        </w:tc>
        <w:tc>
          <w:tcPr>
            <w:tcW w:w="500" w:type="pct"/>
            <w:tcBorders>
              <w:top w:val="nil"/>
              <w:left w:val="nil"/>
              <w:bottom w:val="nil"/>
              <w:right w:val="nil"/>
            </w:tcBorders>
            <w:shd w:val="clear" w:color="auto" w:fill="95B3D7"/>
            <w:vAlign w:val="center"/>
            <w:hideMark/>
          </w:tcPr>
          <w:p w14:paraId="12B7C975" w14:textId="77777777" w:rsidR="007B39E3" w:rsidRPr="007B39E3" w:rsidRDefault="007B39E3" w:rsidP="007B39E3">
            <w:pPr>
              <w:spacing w:after="0" w:line="240" w:lineRule="auto"/>
              <w:jc w:val="right"/>
              <w:rPr>
                <w:rFonts w:eastAsia="Times New Roman" w:cstheme="minorHAnsi"/>
                <w:color w:val="000000"/>
                <w:lang w:eastAsia="pt-BR"/>
              </w:rPr>
            </w:pPr>
            <w:r w:rsidRPr="007B39E3">
              <w:rPr>
                <w:rFonts w:eastAsia="Times New Roman" w:cstheme="minorHAnsi"/>
                <w:b/>
                <w:bCs/>
                <w:color w:val="000000"/>
                <w:lang w:eastAsia="pt-BR"/>
              </w:rPr>
              <w:t>IAG: 0 </w:t>
            </w:r>
          </w:p>
        </w:tc>
      </w:tr>
    </w:tbl>
    <w:p w14:paraId="49B039B8" w14:textId="77777777" w:rsidR="007B39E3" w:rsidRPr="007B39E3" w:rsidRDefault="007B39E3" w:rsidP="007B39E3">
      <w:pPr>
        <w:numPr>
          <w:ilvl w:val="0"/>
          <w:numId w:val="14"/>
        </w:numPr>
        <w:spacing w:before="100" w:beforeAutospacing="1" w:after="240" w:line="240" w:lineRule="auto"/>
        <w:rPr>
          <w:rFonts w:eastAsia="Times New Roman" w:cstheme="minorHAnsi"/>
          <w:color w:val="000000"/>
          <w:lang w:eastAsia="pt-BR"/>
        </w:rPr>
      </w:pPr>
      <w:r w:rsidRPr="007B39E3">
        <w:rPr>
          <w:rFonts w:eastAsia="Times New Roman" w:cstheme="minorHAnsi"/>
          <w:b/>
          <w:bCs/>
          <w:color w:val="000000"/>
          <w:lang w:eastAsia="pt-BR"/>
        </w:rPr>
        <w:t>Segundo Bimestre</w:t>
      </w:r>
      <w:r w:rsidRPr="007B39E3">
        <w:rPr>
          <w:rFonts w:eastAsia="Times New Roman" w:cstheme="minorHAnsi"/>
          <w:color w:val="000000"/>
          <w:lang w:eastAsia="pt-BR"/>
        </w:rPr>
        <w:t xml:space="preserve"> </w:t>
      </w:r>
    </w:p>
    <w:p w14:paraId="75614778" w14:textId="74344234" w:rsidR="007B39E3" w:rsidRPr="007B39E3" w:rsidRDefault="007B39E3" w:rsidP="007B39E3">
      <w:pPr>
        <w:spacing w:before="100" w:beforeAutospacing="1" w:after="100" w:afterAutospacing="1" w:line="240" w:lineRule="auto"/>
        <w:ind w:left="720"/>
        <w:jc w:val="both"/>
        <w:rPr>
          <w:rFonts w:eastAsia="Times New Roman" w:cstheme="minorHAnsi"/>
          <w:color w:val="000000"/>
          <w:lang w:eastAsia="pt-BR"/>
        </w:rPr>
      </w:pPr>
      <w:r w:rsidRPr="007B39E3">
        <w:rPr>
          <w:rFonts w:eastAsia="Times New Roman" w:cstheme="minorHAnsi"/>
          <w:b/>
          <w:bCs/>
          <w:color w:val="000000"/>
          <w:lang w:eastAsia="pt-BR"/>
        </w:rPr>
        <w:t>Justificativa de Desempenho Jan-</w:t>
      </w:r>
      <w:proofErr w:type="spellStart"/>
      <w:r w:rsidRPr="007B39E3">
        <w:rPr>
          <w:rFonts w:eastAsia="Times New Roman" w:cstheme="minorHAnsi"/>
          <w:b/>
          <w:bCs/>
          <w:color w:val="000000"/>
          <w:lang w:eastAsia="pt-BR"/>
        </w:rPr>
        <w:t>Abr</w:t>
      </w:r>
      <w:proofErr w:type="spellEnd"/>
      <w:r w:rsidRPr="007B39E3">
        <w:rPr>
          <w:rFonts w:eastAsia="Times New Roman" w:cstheme="minorHAnsi"/>
          <w:b/>
          <w:bCs/>
          <w:color w:val="000000"/>
          <w:lang w:eastAsia="pt-BR"/>
        </w:rPr>
        <w:t xml:space="preserve">: </w:t>
      </w:r>
      <w:r w:rsidRPr="007B39E3">
        <w:rPr>
          <w:rFonts w:eastAsia="Times New Roman" w:cstheme="minorHAnsi"/>
          <w:color w:val="000000"/>
          <w:lang w:eastAsia="pt-BR"/>
        </w:rPr>
        <w:t xml:space="preserve">O resultado subestimado tem como causa o baixo percentual de despesa realizada se comparado ao montante empenhado, ou seja, a despesa realizada não está sendo efetivada na mesma proporção do valor empenhado do que afeta de modo negativo o resultado. Esta será efetivada nos próximos bimestres. </w:t>
      </w:r>
    </w:p>
    <w:p w14:paraId="2FFFAD9F" w14:textId="77777777" w:rsidR="007B39E3" w:rsidRPr="007B39E3" w:rsidRDefault="007B39E3" w:rsidP="007B39E3">
      <w:pPr>
        <w:spacing w:before="100" w:beforeAutospacing="1" w:after="100" w:afterAutospacing="1" w:line="240" w:lineRule="auto"/>
        <w:ind w:left="720"/>
        <w:rPr>
          <w:rFonts w:eastAsia="Times New Roman" w:cstheme="minorHAnsi"/>
          <w:color w:val="000000"/>
          <w:lang w:eastAsia="pt-BR"/>
        </w:rPr>
      </w:pPr>
      <w:r w:rsidRPr="007B39E3">
        <w:rPr>
          <w:rFonts w:eastAsia="Times New Roman" w:cstheme="minorHAnsi"/>
          <w:b/>
          <w:bCs/>
          <w:color w:val="000000"/>
          <w:lang w:eastAsia="pt-BR"/>
        </w:rPr>
        <w:t xml:space="preserve">Outras informações de situação: </w:t>
      </w:r>
      <w:r w:rsidRPr="007B39E3">
        <w:rPr>
          <w:rFonts w:eastAsia="Times New Roman" w:cstheme="minorHAnsi"/>
          <w:color w:val="000000"/>
          <w:lang w:eastAsia="pt-BR"/>
        </w:rPr>
        <w:t>No segundo bimestre/2023 foram produzidos 115.093 hemocomponentes, percebemos que quando comparamos com o primeiro bimestre/2023 (119.796), houve redução na produção de 4.703 hemocomponentes ou seja cerca de 4%, mesmo assim podemos classificar o resultado como satisfatório por ter superado a meta para o bimestre em atingido aproximadamente 24,50%.</w:t>
      </w:r>
      <w:r w:rsidRPr="007B39E3">
        <w:rPr>
          <w:rFonts w:eastAsia="Times New Roman" w:cstheme="minorHAnsi"/>
          <w:color w:val="000000"/>
          <w:lang w:eastAsia="pt-BR"/>
        </w:rPr>
        <w:br/>
      </w:r>
      <w:r w:rsidRPr="007B39E3">
        <w:rPr>
          <w:rFonts w:eastAsia="Times New Roman" w:cstheme="minorHAnsi"/>
          <w:color w:val="000000"/>
          <w:lang w:eastAsia="pt-BR"/>
        </w:rPr>
        <w:br/>
        <w:t xml:space="preserve">Apesar dos resultados alcançados neste segundo bimestre de 2023, a meta foi alcançada mas há necessidade de intensificação de coletas externas, manutenção da abertura das Unidades em horários alternativos como coletas noturnas, aos sábados, feriados e pontos facultativos e implantação de novos </w:t>
      </w:r>
      <w:proofErr w:type="spellStart"/>
      <w:r w:rsidRPr="007B39E3">
        <w:rPr>
          <w:rFonts w:eastAsia="Times New Roman" w:cstheme="minorHAnsi"/>
          <w:color w:val="000000"/>
          <w:lang w:eastAsia="pt-BR"/>
        </w:rPr>
        <w:t>PACEs</w:t>
      </w:r>
      <w:proofErr w:type="spellEnd"/>
      <w:r w:rsidRPr="007B39E3">
        <w:rPr>
          <w:rFonts w:eastAsia="Times New Roman" w:cstheme="minorHAnsi"/>
          <w:color w:val="000000"/>
          <w:lang w:eastAsia="pt-BR"/>
        </w:rPr>
        <w:t>.</w:t>
      </w:r>
    </w:p>
    <w:p w14:paraId="2C12F352" w14:textId="207717CA" w:rsidR="00CF605F" w:rsidRDefault="00CF605F" w:rsidP="00651F14"/>
    <w:p w14:paraId="13D85955" w14:textId="6DE7C727" w:rsidR="0093210D" w:rsidRDefault="0093210D" w:rsidP="00651F14"/>
    <w:p w14:paraId="6FD002A0" w14:textId="23C721CF" w:rsidR="0093210D" w:rsidRDefault="0093210D" w:rsidP="00651F14">
      <w:r>
        <w:rPr>
          <w:noProof/>
        </w:rPr>
        <w:lastRenderedPageBreak/>
        <w:drawing>
          <wp:inline distT="0" distB="0" distL="0" distR="0" wp14:anchorId="72263C13" wp14:editId="1B0ED9D3">
            <wp:extent cx="8891270" cy="5634355"/>
            <wp:effectExtent l="0" t="0" r="508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91270" cy="5634355"/>
                    </a:xfrm>
                    <a:prstGeom prst="rect">
                      <a:avLst/>
                    </a:prstGeom>
                  </pic:spPr>
                </pic:pic>
              </a:graphicData>
            </a:graphic>
          </wp:inline>
        </w:drawing>
      </w:r>
    </w:p>
    <w:p w14:paraId="2968D7D8" w14:textId="2288DC34" w:rsidR="0093210D" w:rsidRDefault="0093210D" w:rsidP="00651F14"/>
    <w:tbl>
      <w:tblPr>
        <w:tblW w:w="12750" w:type="dxa"/>
        <w:jc w:val="center"/>
        <w:tblCellSpacing w:w="0" w:type="dxa"/>
        <w:tblCellMar>
          <w:top w:w="10" w:type="dxa"/>
          <w:left w:w="10" w:type="dxa"/>
          <w:bottom w:w="10" w:type="dxa"/>
          <w:right w:w="10" w:type="dxa"/>
        </w:tblCellMar>
        <w:tblLook w:val="04A0" w:firstRow="1" w:lastRow="0" w:firstColumn="1" w:lastColumn="0" w:noHBand="0" w:noVBand="1"/>
      </w:tblPr>
      <w:tblGrid>
        <w:gridCol w:w="11475"/>
        <w:gridCol w:w="1275"/>
      </w:tblGrid>
      <w:tr w:rsidR="00211EDE" w:rsidRPr="00211EDE" w14:paraId="3C8472EB" w14:textId="77777777" w:rsidTr="00211EDE">
        <w:trPr>
          <w:trHeight w:val="250"/>
          <w:tblCellSpacing w:w="0" w:type="dxa"/>
          <w:jc w:val="center"/>
        </w:trPr>
        <w:tc>
          <w:tcPr>
            <w:tcW w:w="4500" w:type="pct"/>
            <w:tcBorders>
              <w:top w:val="nil"/>
              <w:left w:val="nil"/>
              <w:bottom w:val="nil"/>
              <w:right w:val="nil"/>
            </w:tcBorders>
            <w:shd w:val="clear" w:color="auto" w:fill="95B3D7"/>
            <w:vAlign w:val="center"/>
            <w:hideMark/>
          </w:tcPr>
          <w:p w14:paraId="5328D702" w14:textId="77777777" w:rsidR="00211EDE" w:rsidRPr="00211EDE" w:rsidRDefault="00211EDE" w:rsidP="00211EDE">
            <w:pPr>
              <w:spacing w:after="0" w:line="240" w:lineRule="auto"/>
              <w:rPr>
                <w:rFonts w:eastAsia="Times New Roman" w:cstheme="minorHAnsi"/>
                <w:color w:val="000000"/>
                <w:lang w:eastAsia="pt-BR"/>
              </w:rPr>
            </w:pPr>
            <w:r w:rsidRPr="00211EDE">
              <w:rPr>
                <w:rFonts w:eastAsia="Times New Roman" w:cstheme="minorHAnsi"/>
                <w:b/>
                <w:bCs/>
                <w:color w:val="000000"/>
                <w:lang w:eastAsia="pt-BR"/>
              </w:rPr>
              <w:lastRenderedPageBreak/>
              <w:t>Ação: 4540 - DESENVOLVIMENTO DO PROGRAMA DE SANGUE E HEMODERIVADOS</w:t>
            </w:r>
            <w:r w:rsidRPr="00211EDE">
              <w:rPr>
                <w:rFonts w:eastAsia="Times New Roman" w:cstheme="minorHAnsi"/>
                <w:color w:val="000000"/>
                <w:lang w:eastAsia="pt-BR"/>
              </w:rPr>
              <w:t xml:space="preserve"> </w:t>
            </w:r>
          </w:p>
        </w:tc>
        <w:tc>
          <w:tcPr>
            <w:tcW w:w="500" w:type="pct"/>
            <w:tcBorders>
              <w:top w:val="nil"/>
              <w:left w:val="nil"/>
              <w:bottom w:val="nil"/>
              <w:right w:val="nil"/>
            </w:tcBorders>
            <w:shd w:val="clear" w:color="auto" w:fill="95B3D7"/>
            <w:vAlign w:val="center"/>
            <w:hideMark/>
          </w:tcPr>
          <w:p w14:paraId="60CD3C05" w14:textId="77777777" w:rsidR="00211EDE" w:rsidRPr="00211EDE" w:rsidRDefault="00211EDE" w:rsidP="00211EDE">
            <w:pPr>
              <w:spacing w:after="0" w:line="240" w:lineRule="auto"/>
              <w:jc w:val="right"/>
              <w:rPr>
                <w:rFonts w:eastAsia="Times New Roman" w:cstheme="minorHAnsi"/>
                <w:color w:val="000000"/>
                <w:lang w:eastAsia="pt-BR"/>
              </w:rPr>
            </w:pPr>
            <w:r w:rsidRPr="00211EDE">
              <w:rPr>
                <w:rFonts w:eastAsia="Times New Roman" w:cstheme="minorHAnsi"/>
                <w:b/>
                <w:bCs/>
                <w:color w:val="000000"/>
                <w:lang w:eastAsia="pt-BR"/>
              </w:rPr>
              <w:t>IAG: 0 </w:t>
            </w:r>
          </w:p>
        </w:tc>
      </w:tr>
    </w:tbl>
    <w:p w14:paraId="403978D0" w14:textId="046203C7" w:rsidR="00211EDE" w:rsidRDefault="00211EDE" w:rsidP="00211EDE">
      <w:pPr>
        <w:numPr>
          <w:ilvl w:val="0"/>
          <w:numId w:val="15"/>
        </w:numPr>
        <w:spacing w:before="100" w:beforeAutospacing="1" w:after="100" w:afterAutospacing="1" w:line="240" w:lineRule="auto"/>
        <w:rPr>
          <w:rFonts w:eastAsia="Times New Roman" w:cstheme="minorHAnsi"/>
          <w:color w:val="000000"/>
          <w:lang w:eastAsia="pt-BR"/>
        </w:rPr>
      </w:pPr>
      <w:r w:rsidRPr="00211EDE">
        <w:rPr>
          <w:rFonts w:eastAsia="Times New Roman" w:cstheme="minorHAnsi"/>
          <w:b/>
          <w:bCs/>
          <w:color w:val="000000"/>
          <w:lang w:eastAsia="pt-BR"/>
        </w:rPr>
        <w:t>Terceiro Bimestre</w:t>
      </w:r>
      <w:r w:rsidRPr="00211EDE">
        <w:rPr>
          <w:rFonts w:eastAsia="Times New Roman" w:cstheme="minorHAnsi"/>
          <w:color w:val="000000"/>
          <w:lang w:eastAsia="pt-BR"/>
        </w:rPr>
        <w:t xml:space="preserve"> </w:t>
      </w:r>
      <w:r w:rsidRPr="00211EDE">
        <w:rPr>
          <w:rFonts w:eastAsia="Times New Roman" w:cstheme="minorHAnsi"/>
          <w:color w:val="000000"/>
          <w:lang w:eastAsia="pt-BR"/>
        </w:rPr>
        <w:br/>
      </w:r>
      <w:r w:rsidRPr="00211EDE">
        <w:rPr>
          <w:rFonts w:eastAsia="Times New Roman" w:cstheme="minorHAnsi"/>
          <w:color w:val="000000"/>
          <w:lang w:eastAsia="pt-BR"/>
        </w:rPr>
        <w:br/>
      </w:r>
      <w:r w:rsidRPr="00211EDE">
        <w:rPr>
          <w:rFonts w:eastAsia="Times New Roman" w:cstheme="minorHAnsi"/>
          <w:b/>
          <w:bCs/>
          <w:color w:val="000000"/>
          <w:lang w:eastAsia="pt-BR"/>
        </w:rPr>
        <w:t>Justificativa de Desempenho Jan-</w:t>
      </w:r>
      <w:proofErr w:type="spellStart"/>
      <w:r w:rsidRPr="00211EDE">
        <w:rPr>
          <w:rFonts w:eastAsia="Times New Roman" w:cstheme="minorHAnsi"/>
          <w:b/>
          <w:bCs/>
          <w:color w:val="000000"/>
          <w:lang w:eastAsia="pt-BR"/>
        </w:rPr>
        <w:t>Jun</w:t>
      </w:r>
      <w:proofErr w:type="spellEnd"/>
      <w:r w:rsidRPr="00211EDE">
        <w:rPr>
          <w:rFonts w:eastAsia="Times New Roman" w:cstheme="minorHAnsi"/>
          <w:b/>
          <w:bCs/>
          <w:color w:val="000000"/>
          <w:lang w:eastAsia="pt-BR"/>
        </w:rPr>
        <w:t xml:space="preserve">: </w:t>
      </w:r>
      <w:r w:rsidRPr="00211EDE">
        <w:rPr>
          <w:rFonts w:eastAsia="Times New Roman" w:cstheme="minorHAnsi"/>
          <w:color w:val="000000"/>
          <w:lang w:eastAsia="pt-BR"/>
        </w:rPr>
        <w:t xml:space="preserve">Devido ao lapso temporal entre programação inicial que ocorre geralmente no primeiro trimestre e, considerando que é necessário atender às demandas com o empenho e posterior liquidação para não ocorrer desabastecimento dos itens primordiais utilizados nos produtos e serviços, a estimativa inicial torna-se praticamente inviável. </w:t>
      </w:r>
      <w:r w:rsidRPr="00211EDE">
        <w:rPr>
          <w:rFonts w:eastAsia="Times New Roman" w:cstheme="minorHAnsi"/>
          <w:color w:val="000000"/>
          <w:lang w:eastAsia="pt-BR"/>
        </w:rPr>
        <w:br/>
      </w:r>
      <w:r w:rsidRPr="00211EDE">
        <w:rPr>
          <w:rFonts w:eastAsia="Times New Roman" w:cstheme="minorHAnsi"/>
          <w:color w:val="000000"/>
          <w:lang w:eastAsia="pt-BR"/>
        </w:rPr>
        <w:br/>
      </w:r>
      <w:r w:rsidRPr="00211EDE">
        <w:rPr>
          <w:rFonts w:eastAsia="Times New Roman" w:cstheme="minorHAnsi"/>
          <w:b/>
          <w:bCs/>
          <w:color w:val="000000"/>
          <w:lang w:eastAsia="pt-BR"/>
        </w:rPr>
        <w:t xml:space="preserve">Outras informações de situação: </w:t>
      </w:r>
      <w:r w:rsidRPr="00211EDE">
        <w:rPr>
          <w:rFonts w:eastAsia="Times New Roman" w:cstheme="minorHAnsi"/>
          <w:color w:val="000000"/>
          <w:lang w:eastAsia="pt-BR"/>
        </w:rPr>
        <w:t>No terceiro bimestre/2023 foram produzidos 118.765 hemocomponentes, percebemos que quando comparamos com o segundo bimestre/2023 (115.093), houve aumento na produção de 3.672 hemocomponentes ou seja cerca de 3% de aumento, portanto podemos classificar o resultado como satisfatório por ter superado a meta do bimestre em 28%.</w:t>
      </w:r>
      <w:r w:rsidRPr="00211EDE">
        <w:rPr>
          <w:rFonts w:eastAsia="Times New Roman" w:cstheme="minorHAnsi"/>
          <w:color w:val="000000"/>
          <w:lang w:eastAsia="pt-BR"/>
        </w:rPr>
        <w:br/>
      </w:r>
      <w:r w:rsidRPr="00211EDE">
        <w:rPr>
          <w:rFonts w:eastAsia="Times New Roman" w:cstheme="minorHAnsi"/>
          <w:color w:val="000000"/>
          <w:lang w:eastAsia="pt-BR"/>
        </w:rPr>
        <w:br/>
        <w:t xml:space="preserve">Os resultados alcançados neste terceiro bimestre de 2023, a meta foi alcançada mas ainda persiste a necessidade de intensificação de coletas externas, manutenção da abertura das Unidades em horários alternativos como coletas noturnas, aos sábados, feriados e pontos facultativos e implantação de novos </w:t>
      </w:r>
      <w:proofErr w:type="spellStart"/>
      <w:r w:rsidRPr="00211EDE">
        <w:rPr>
          <w:rFonts w:eastAsia="Times New Roman" w:cstheme="minorHAnsi"/>
          <w:color w:val="000000"/>
          <w:lang w:eastAsia="pt-BR"/>
        </w:rPr>
        <w:t>PACEs</w:t>
      </w:r>
      <w:proofErr w:type="spellEnd"/>
      <w:r w:rsidRPr="00211EDE">
        <w:rPr>
          <w:rFonts w:eastAsia="Times New Roman" w:cstheme="minorHAnsi"/>
          <w:color w:val="000000"/>
          <w:lang w:eastAsia="pt-BR"/>
        </w:rPr>
        <w:t xml:space="preserve">. </w:t>
      </w:r>
    </w:p>
    <w:p w14:paraId="3F379D08" w14:textId="539012C9" w:rsidR="00EC3BE9" w:rsidRDefault="00EC3BE9" w:rsidP="00EC3BE9">
      <w:pPr>
        <w:spacing w:before="100" w:beforeAutospacing="1" w:after="100" w:afterAutospacing="1" w:line="240" w:lineRule="auto"/>
        <w:rPr>
          <w:rFonts w:eastAsia="Times New Roman" w:cstheme="minorHAnsi"/>
          <w:color w:val="000000"/>
          <w:lang w:eastAsia="pt-BR"/>
        </w:rPr>
      </w:pPr>
    </w:p>
    <w:p w14:paraId="592D8721" w14:textId="42A5DC39" w:rsidR="00EC3BE9" w:rsidRDefault="00EC3BE9" w:rsidP="00EC3BE9">
      <w:pPr>
        <w:spacing w:before="100" w:beforeAutospacing="1" w:after="100" w:afterAutospacing="1" w:line="240" w:lineRule="auto"/>
        <w:rPr>
          <w:rFonts w:eastAsia="Times New Roman" w:cstheme="minorHAnsi"/>
          <w:color w:val="000000"/>
          <w:lang w:eastAsia="pt-BR"/>
        </w:rPr>
      </w:pPr>
    </w:p>
    <w:p w14:paraId="6FFE4B60" w14:textId="099E8575" w:rsidR="00EC3BE9" w:rsidRDefault="00EC3BE9" w:rsidP="00EC3BE9">
      <w:pPr>
        <w:spacing w:before="100" w:beforeAutospacing="1" w:after="100" w:afterAutospacing="1" w:line="240" w:lineRule="auto"/>
        <w:rPr>
          <w:rFonts w:eastAsia="Times New Roman" w:cstheme="minorHAnsi"/>
          <w:color w:val="000000"/>
          <w:lang w:eastAsia="pt-BR"/>
        </w:rPr>
      </w:pPr>
    </w:p>
    <w:p w14:paraId="21729C6B" w14:textId="44E77037" w:rsidR="00EC3BE9" w:rsidRDefault="00EC3BE9" w:rsidP="00EC3BE9">
      <w:pPr>
        <w:spacing w:before="100" w:beforeAutospacing="1" w:after="100" w:afterAutospacing="1" w:line="240" w:lineRule="auto"/>
        <w:rPr>
          <w:rFonts w:eastAsia="Times New Roman" w:cstheme="minorHAnsi"/>
          <w:color w:val="000000"/>
          <w:lang w:eastAsia="pt-BR"/>
        </w:rPr>
      </w:pPr>
    </w:p>
    <w:p w14:paraId="7DC8C26C" w14:textId="19D79E46" w:rsidR="00EC3BE9" w:rsidRDefault="00EC3BE9" w:rsidP="00EC3BE9">
      <w:pPr>
        <w:spacing w:before="100" w:beforeAutospacing="1" w:after="100" w:afterAutospacing="1" w:line="240" w:lineRule="auto"/>
        <w:rPr>
          <w:rFonts w:eastAsia="Times New Roman" w:cstheme="minorHAnsi"/>
          <w:color w:val="000000"/>
          <w:lang w:eastAsia="pt-BR"/>
        </w:rPr>
      </w:pPr>
    </w:p>
    <w:p w14:paraId="7FDFB2C6" w14:textId="43DA63D8" w:rsidR="00EC3BE9" w:rsidRDefault="00EC3BE9" w:rsidP="00EC3BE9">
      <w:pPr>
        <w:spacing w:before="100" w:beforeAutospacing="1" w:after="100" w:afterAutospacing="1" w:line="240" w:lineRule="auto"/>
        <w:rPr>
          <w:rFonts w:eastAsia="Times New Roman" w:cstheme="minorHAnsi"/>
          <w:color w:val="000000"/>
          <w:lang w:eastAsia="pt-BR"/>
        </w:rPr>
      </w:pPr>
    </w:p>
    <w:p w14:paraId="2C353082" w14:textId="0F92B94E" w:rsidR="00EC3BE9" w:rsidRDefault="00EC3BE9" w:rsidP="00EC3BE9">
      <w:pPr>
        <w:spacing w:before="100" w:beforeAutospacing="1" w:after="100" w:afterAutospacing="1" w:line="240" w:lineRule="auto"/>
        <w:rPr>
          <w:rFonts w:eastAsia="Times New Roman" w:cstheme="minorHAnsi"/>
          <w:color w:val="000000"/>
          <w:lang w:eastAsia="pt-BR"/>
        </w:rPr>
      </w:pPr>
    </w:p>
    <w:p w14:paraId="0ADBA328" w14:textId="270EE364" w:rsidR="00EC3BE9" w:rsidRDefault="00EC3BE9" w:rsidP="00EC3BE9">
      <w:pPr>
        <w:spacing w:before="100" w:beforeAutospacing="1" w:after="100" w:afterAutospacing="1" w:line="240" w:lineRule="auto"/>
        <w:rPr>
          <w:rFonts w:eastAsia="Times New Roman" w:cstheme="minorHAnsi"/>
          <w:color w:val="000000"/>
          <w:lang w:eastAsia="pt-BR"/>
        </w:rPr>
      </w:pPr>
    </w:p>
    <w:p w14:paraId="01362D1A" w14:textId="166CF3A6" w:rsidR="00EC3BE9" w:rsidRDefault="00EC3BE9" w:rsidP="00EC3BE9">
      <w:pPr>
        <w:spacing w:before="100" w:beforeAutospacing="1" w:after="100" w:afterAutospacing="1" w:line="240" w:lineRule="auto"/>
        <w:rPr>
          <w:rFonts w:eastAsia="Times New Roman" w:cstheme="minorHAnsi"/>
          <w:color w:val="000000"/>
          <w:lang w:eastAsia="pt-BR"/>
        </w:rPr>
      </w:pPr>
    </w:p>
    <w:p w14:paraId="6CCBD96E" w14:textId="4FC90C02" w:rsidR="00EC3BE9" w:rsidRDefault="00EC3BE9" w:rsidP="00EC3BE9">
      <w:pPr>
        <w:spacing w:before="100" w:beforeAutospacing="1" w:after="100" w:afterAutospacing="1" w:line="240" w:lineRule="auto"/>
        <w:rPr>
          <w:rFonts w:eastAsia="Times New Roman" w:cstheme="minorHAnsi"/>
          <w:color w:val="000000"/>
          <w:lang w:eastAsia="pt-BR"/>
        </w:rPr>
      </w:pPr>
    </w:p>
    <w:p w14:paraId="6EDE8B68" w14:textId="5C1F2C02" w:rsidR="00EC3BE9" w:rsidRDefault="00EC3BE9" w:rsidP="00EC3BE9">
      <w:pPr>
        <w:spacing w:before="100" w:beforeAutospacing="1" w:after="100" w:afterAutospacing="1" w:line="240" w:lineRule="auto"/>
        <w:rPr>
          <w:rFonts w:eastAsia="Times New Roman" w:cstheme="minorHAnsi"/>
          <w:color w:val="000000"/>
          <w:lang w:eastAsia="pt-BR"/>
        </w:rPr>
      </w:pPr>
      <w:r>
        <w:rPr>
          <w:noProof/>
        </w:rPr>
        <w:lastRenderedPageBreak/>
        <w:drawing>
          <wp:inline distT="0" distB="0" distL="0" distR="0" wp14:anchorId="2CF95DCC" wp14:editId="03E03F72">
            <wp:extent cx="8891270" cy="5642610"/>
            <wp:effectExtent l="0" t="0" r="508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91270" cy="5642610"/>
                    </a:xfrm>
                    <a:prstGeom prst="rect">
                      <a:avLst/>
                    </a:prstGeom>
                  </pic:spPr>
                </pic:pic>
              </a:graphicData>
            </a:graphic>
          </wp:inline>
        </w:drawing>
      </w:r>
    </w:p>
    <w:p w14:paraId="32E83C31" w14:textId="612D55C7" w:rsidR="00B13325" w:rsidRDefault="00B13325" w:rsidP="00EC3BE9">
      <w:pPr>
        <w:spacing w:before="100" w:beforeAutospacing="1" w:after="100" w:afterAutospacing="1" w:line="240" w:lineRule="auto"/>
        <w:rPr>
          <w:rFonts w:eastAsia="Times New Roman" w:cstheme="minorHAnsi"/>
          <w:color w:val="000000"/>
          <w:lang w:eastAsia="pt-BR"/>
        </w:rPr>
      </w:pPr>
    </w:p>
    <w:tbl>
      <w:tblPr>
        <w:tblW w:w="12750" w:type="dxa"/>
        <w:jc w:val="center"/>
        <w:tblCellSpacing w:w="0" w:type="dxa"/>
        <w:tblCellMar>
          <w:top w:w="10" w:type="dxa"/>
          <w:left w:w="10" w:type="dxa"/>
          <w:bottom w:w="10" w:type="dxa"/>
          <w:right w:w="10" w:type="dxa"/>
        </w:tblCellMar>
        <w:tblLook w:val="04A0" w:firstRow="1" w:lastRow="0" w:firstColumn="1" w:lastColumn="0" w:noHBand="0" w:noVBand="1"/>
      </w:tblPr>
      <w:tblGrid>
        <w:gridCol w:w="11475"/>
        <w:gridCol w:w="1275"/>
      </w:tblGrid>
      <w:tr w:rsidR="00B13325" w:rsidRPr="00B13325" w14:paraId="07EA960E" w14:textId="77777777" w:rsidTr="00B13325">
        <w:trPr>
          <w:trHeight w:val="250"/>
          <w:tblCellSpacing w:w="0" w:type="dxa"/>
          <w:jc w:val="center"/>
        </w:trPr>
        <w:tc>
          <w:tcPr>
            <w:tcW w:w="4500" w:type="pct"/>
            <w:tcBorders>
              <w:top w:val="nil"/>
              <w:left w:val="nil"/>
              <w:bottom w:val="nil"/>
              <w:right w:val="nil"/>
            </w:tcBorders>
            <w:shd w:val="clear" w:color="auto" w:fill="95B3D7"/>
            <w:vAlign w:val="center"/>
            <w:hideMark/>
          </w:tcPr>
          <w:p w14:paraId="06630CB7" w14:textId="77777777" w:rsidR="00B13325" w:rsidRPr="00B13325" w:rsidRDefault="00B13325" w:rsidP="00B13325">
            <w:pPr>
              <w:spacing w:before="100" w:beforeAutospacing="1" w:after="100" w:afterAutospacing="1" w:line="240" w:lineRule="auto"/>
              <w:rPr>
                <w:rFonts w:eastAsia="Times New Roman" w:cstheme="minorHAnsi"/>
                <w:color w:val="000000"/>
                <w:lang w:eastAsia="pt-BR"/>
              </w:rPr>
            </w:pPr>
            <w:r w:rsidRPr="00B13325">
              <w:rPr>
                <w:rFonts w:eastAsia="Times New Roman" w:cstheme="minorHAnsi"/>
                <w:b/>
                <w:bCs/>
                <w:color w:val="000000"/>
                <w:lang w:eastAsia="pt-BR"/>
              </w:rPr>
              <w:lastRenderedPageBreak/>
              <w:t>Ação: 4540 - DESENVOLVIMENTO DO PROGRAMA DE SANGUE E HEMODERIVADOS</w:t>
            </w:r>
            <w:r w:rsidRPr="00B13325">
              <w:rPr>
                <w:rFonts w:eastAsia="Times New Roman" w:cstheme="minorHAnsi"/>
                <w:color w:val="000000"/>
                <w:lang w:eastAsia="pt-BR"/>
              </w:rPr>
              <w:t xml:space="preserve"> </w:t>
            </w:r>
          </w:p>
        </w:tc>
        <w:tc>
          <w:tcPr>
            <w:tcW w:w="500" w:type="pct"/>
            <w:tcBorders>
              <w:top w:val="nil"/>
              <w:left w:val="nil"/>
              <w:bottom w:val="nil"/>
              <w:right w:val="nil"/>
            </w:tcBorders>
            <w:shd w:val="clear" w:color="auto" w:fill="95B3D7"/>
            <w:vAlign w:val="center"/>
            <w:hideMark/>
          </w:tcPr>
          <w:p w14:paraId="20EB8F71" w14:textId="77777777" w:rsidR="00B13325" w:rsidRPr="00B13325" w:rsidRDefault="00B13325" w:rsidP="00B13325">
            <w:pPr>
              <w:spacing w:before="100" w:beforeAutospacing="1" w:after="100" w:afterAutospacing="1" w:line="240" w:lineRule="auto"/>
              <w:rPr>
                <w:rFonts w:eastAsia="Times New Roman" w:cstheme="minorHAnsi"/>
                <w:color w:val="000000"/>
                <w:lang w:eastAsia="pt-BR"/>
              </w:rPr>
            </w:pPr>
            <w:r w:rsidRPr="00B13325">
              <w:rPr>
                <w:rFonts w:eastAsia="Times New Roman" w:cstheme="minorHAnsi"/>
                <w:b/>
                <w:bCs/>
                <w:color w:val="000000"/>
                <w:lang w:eastAsia="pt-BR"/>
              </w:rPr>
              <w:t>IAG: 0 </w:t>
            </w:r>
          </w:p>
        </w:tc>
      </w:tr>
    </w:tbl>
    <w:p w14:paraId="4D8B4CCF" w14:textId="29D9D906" w:rsidR="00B13325" w:rsidRPr="00B13325" w:rsidRDefault="00B13325" w:rsidP="00B13325">
      <w:pPr>
        <w:numPr>
          <w:ilvl w:val="0"/>
          <w:numId w:val="16"/>
        </w:numPr>
        <w:spacing w:before="100" w:beforeAutospacing="1" w:after="100" w:afterAutospacing="1" w:line="240" w:lineRule="auto"/>
        <w:rPr>
          <w:rFonts w:eastAsia="Times New Roman" w:cstheme="minorHAnsi"/>
          <w:color w:val="000000"/>
          <w:lang w:eastAsia="pt-BR"/>
        </w:rPr>
      </w:pPr>
      <w:r w:rsidRPr="00B13325">
        <w:rPr>
          <w:rFonts w:eastAsia="Times New Roman" w:cstheme="minorHAnsi"/>
          <w:b/>
          <w:bCs/>
          <w:color w:val="000000"/>
          <w:lang w:eastAsia="pt-BR"/>
        </w:rPr>
        <w:t>Quarto Bimestre</w:t>
      </w:r>
      <w:r w:rsidRPr="00B13325">
        <w:rPr>
          <w:rFonts w:eastAsia="Times New Roman" w:cstheme="minorHAnsi"/>
          <w:color w:val="000000"/>
          <w:lang w:eastAsia="pt-BR"/>
        </w:rPr>
        <w:t xml:space="preserve"> </w:t>
      </w:r>
      <w:r w:rsidRPr="00B13325">
        <w:rPr>
          <w:rFonts w:eastAsia="Times New Roman" w:cstheme="minorHAnsi"/>
          <w:color w:val="000000"/>
          <w:lang w:eastAsia="pt-BR"/>
        </w:rPr>
        <w:br/>
      </w:r>
      <w:r w:rsidRPr="00B13325">
        <w:rPr>
          <w:rFonts w:eastAsia="Times New Roman" w:cstheme="minorHAnsi"/>
          <w:color w:val="000000"/>
          <w:lang w:eastAsia="pt-BR"/>
        </w:rPr>
        <w:br/>
      </w:r>
      <w:r w:rsidRPr="00B13325">
        <w:rPr>
          <w:rFonts w:eastAsia="Times New Roman" w:cstheme="minorHAnsi"/>
          <w:b/>
          <w:bCs/>
          <w:color w:val="000000"/>
          <w:lang w:eastAsia="pt-BR"/>
        </w:rPr>
        <w:t xml:space="preserve">Justificativa de Desempenho </w:t>
      </w:r>
      <w:proofErr w:type="spellStart"/>
      <w:r w:rsidRPr="00B13325">
        <w:rPr>
          <w:rFonts w:eastAsia="Times New Roman" w:cstheme="minorHAnsi"/>
          <w:b/>
          <w:bCs/>
          <w:color w:val="000000"/>
          <w:lang w:eastAsia="pt-BR"/>
        </w:rPr>
        <w:t>Jan-Ago</w:t>
      </w:r>
      <w:proofErr w:type="spellEnd"/>
      <w:r w:rsidRPr="00B13325">
        <w:rPr>
          <w:rFonts w:eastAsia="Times New Roman" w:cstheme="minorHAnsi"/>
          <w:b/>
          <w:bCs/>
          <w:color w:val="000000"/>
          <w:lang w:eastAsia="pt-BR"/>
        </w:rPr>
        <w:t xml:space="preserve">: </w:t>
      </w:r>
      <w:r w:rsidRPr="00B13325">
        <w:rPr>
          <w:rFonts w:eastAsia="Times New Roman" w:cstheme="minorHAnsi"/>
          <w:color w:val="000000"/>
          <w:lang w:eastAsia="pt-BR"/>
        </w:rPr>
        <w:t xml:space="preserve">Os resultados alcançados neste quarto bimestre de 2023, mesmo com o resultado tendo atingido a meta, ainda persiste a necessidade de intensificação de coletas externas, manutenção da abertura das Unidades em horários alternativos como coletas noturnas, aos sábados, feriados e pontos facultativos e implantação de novos </w:t>
      </w:r>
      <w:proofErr w:type="spellStart"/>
      <w:r w:rsidRPr="00B13325">
        <w:rPr>
          <w:rFonts w:eastAsia="Times New Roman" w:cstheme="minorHAnsi"/>
          <w:color w:val="000000"/>
          <w:lang w:eastAsia="pt-BR"/>
        </w:rPr>
        <w:t>PACEs</w:t>
      </w:r>
      <w:proofErr w:type="spellEnd"/>
      <w:r w:rsidRPr="00B13325">
        <w:rPr>
          <w:rFonts w:eastAsia="Times New Roman" w:cstheme="minorHAnsi"/>
          <w:color w:val="000000"/>
          <w:lang w:eastAsia="pt-BR"/>
        </w:rPr>
        <w:t xml:space="preserve"> que estão em negociação com municípios do Estado. </w:t>
      </w:r>
      <w:r w:rsidRPr="00B13325">
        <w:rPr>
          <w:rFonts w:eastAsia="Times New Roman" w:cstheme="minorHAnsi"/>
          <w:color w:val="000000"/>
          <w:lang w:eastAsia="pt-BR"/>
        </w:rPr>
        <w:br/>
      </w:r>
      <w:r w:rsidRPr="00B13325">
        <w:rPr>
          <w:rFonts w:eastAsia="Times New Roman" w:cstheme="minorHAnsi"/>
          <w:color w:val="000000"/>
          <w:lang w:eastAsia="pt-BR"/>
        </w:rPr>
        <w:br/>
      </w:r>
      <w:r w:rsidRPr="00B13325">
        <w:rPr>
          <w:rFonts w:eastAsia="Times New Roman" w:cstheme="minorHAnsi"/>
          <w:b/>
          <w:bCs/>
          <w:color w:val="000000"/>
          <w:lang w:eastAsia="pt-BR"/>
        </w:rPr>
        <w:t xml:space="preserve">Outras informações de situação: </w:t>
      </w:r>
      <w:r w:rsidRPr="00B13325">
        <w:rPr>
          <w:rFonts w:eastAsia="Times New Roman" w:cstheme="minorHAnsi"/>
          <w:color w:val="000000"/>
          <w:lang w:eastAsia="pt-BR"/>
        </w:rPr>
        <w:t>No quarto bimestre/2023 foram produzidos 119.968 hemocomponentes, percebemos que quando comparamos com o terceiro bimestre/2023 (118.765), houve aumento na produção de 1.203 hemocomponentes, portanto podemos classificar o resultado como satisfatório com o resultado superando a meta do bimestre em 29,78%.</w:t>
      </w:r>
      <w:r w:rsidRPr="00B13325">
        <w:rPr>
          <w:rFonts w:eastAsia="Times New Roman" w:cstheme="minorHAnsi"/>
          <w:color w:val="000000"/>
          <w:lang w:eastAsia="pt-BR"/>
        </w:rPr>
        <w:br/>
      </w:r>
      <w:r w:rsidRPr="00B13325">
        <w:rPr>
          <w:rFonts w:eastAsia="Times New Roman" w:cstheme="minorHAnsi"/>
          <w:color w:val="000000"/>
          <w:lang w:eastAsia="pt-BR"/>
        </w:rPr>
        <w:br/>
        <w:t xml:space="preserve">Os resultados alcançados neste quarto bimestre de 2023, mesmo com o resultado tendo atingido a meta, ainda persiste a necessidade de intensificação de coletas externas, manutenção da abertura das Unidades em horários alternativos como coletas noturnas, aos sábados, feriados e pontos facultativos e implantação de novos </w:t>
      </w:r>
      <w:proofErr w:type="spellStart"/>
      <w:r w:rsidRPr="00B13325">
        <w:rPr>
          <w:rFonts w:eastAsia="Times New Roman" w:cstheme="minorHAnsi"/>
          <w:color w:val="000000"/>
          <w:lang w:eastAsia="pt-BR"/>
        </w:rPr>
        <w:t>PACEs</w:t>
      </w:r>
      <w:proofErr w:type="spellEnd"/>
      <w:r w:rsidRPr="00B13325">
        <w:rPr>
          <w:rFonts w:eastAsia="Times New Roman" w:cstheme="minorHAnsi"/>
          <w:color w:val="000000"/>
          <w:lang w:eastAsia="pt-BR"/>
        </w:rPr>
        <w:t xml:space="preserve"> que estão em negociação com municípios do Estado.</w:t>
      </w:r>
      <w:r w:rsidRPr="00B13325">
        <w:rPr>
          <w:rFonts w:eastAsia="Times New Roman" w:cstheme="minorHAnsi"/>
          <w:color w:val="000000"/>
          <w:lang w:eastAsia="pt-BR"/>
        </w:rPr>
        <w:br/>
      </w:r>
      <w:r w:rsidRPr="00B13325">
        <w:rPr>
          <w:rFonts w:eastAsia="Times New Roman" w:cstheme="minorHAnsi"/>
          <w:color w:val="000000"/>
          <w:lang w:eastAsia="pt-BR"/>
        </w:rPr>
        <w:br/>
        <w:t xml:space="preserve">OBS: Foi remanejado desta ação para a </w:t>
      </w:r>
      <w:proofErr w:type="spellStart"/>
      <w:r w:rsidRPr="00B13325">
        <w:rPr>
          <w:rFonts w:eastAsia="Times New Roman" w:cstheme="minorHAnsi"/>
          <w:color w:val="000000"/>
          <w:lang w:eastAsia="pt-BR"/>
        </w:rPr>
        <w:t>açao</w:t>
      </w:r>
      <w:proofErr w:type="spellEnd"/>
      <w:r w:rsidRPr="00B13325">
        <w:rPr>
          <w:rFonts w:eastAsia="Times New Roman" w:cstheme="minorHAnsi"/>
          <w:color w:val="000000"/>
          <w:lang w:eastAsia="pt-BR"/>
        </w:rPr>
        <w:t xml:space="preserve"> 4 341 o valor de R$ 6.000.000,00 para viabilizar a cobertura de despesas com investimento programadas para serem realizadas - Decreto: 75 com data de publicação: 03/08</w:t>
      </w:r>
      <w:r>
        <w:rPr>
          <w:rFonts w:eastAsia="Times New Roman" w:cstheme="minorHAnsi"/>
          <w:color w:val="000000"/>
          <w:lang w:eastAsia="pt-BR"/>
        </w:rPr>
        <w:t>.</w:t>
      </w:r>
      <w:r w:rsidRPr="00B13325">
        <w:rPr>
          <w:rFonts w:eastAsia="Times New Roman" w:cstheme="minorHAnsi"/>
          <w:color w:val="000000"/>
          <w:lang w:eastAsia="pt-BR"/>
        </w:rPr>
        <w:t xml:space="preserve"> </w:t>
      </w:r>
    </w:p>
    <w:p w14:paraId="23409646" w14:textId="77777777" w:rsidR="00B13325" w:rsidRDefault="00B13325" w:rsidP="00EC3BE9">
      <w:pPr>
        <w:spacing w:before="100" w:beforeAutospacing="1" w:after="100" w:afterAutospacing="1" w:line="240" w:lineRule="auto"/>
        <w:rPr>
          <w:rFonts w:eastAsia="Times New Roman" w:cstheme="minorHAnsi"/>
          <w:color w:val="000000"/>
          <w:lang w:eastAsia="pt-BR"/>
        </w:rPr>
      </w:pPr>
    </w:p>
    <w:p w14:paraId="2666C610" w14:textId="77777777" w:rsidR="00EC3BE9" w:rsidRPr="00211EDE" w:rsidRDefault="00EC3BE9" w:rsidP="00EC3BE9">
      <w:pPr>
        <w:spacing w:before="100" w:beforeAutospacing="1" w:after="100" w:afterAutospacing="1" w:line="240" w:lineRule="auto"/>
        <w:rPr>
          <w:rFonts w:eastAsia="Times New Roman" w:cstheme="minorHAnsi"/>
          <w:color w:val="000000"/>
          <w:lang w:eastAsia="pt-BR"/>
        </w:rPr>
      </w:pPr>
    </w:p>
    <w:p w14:paraId="77747680" w14:textId="2EE128DD" w:rsidR="0093210D" w:rsidRDefault="0093210D" w:rsidP="00651F14"/>
    <w:p w14:paraId="0EE96946" w14:textId="46938FE2" w:rsidR="007F2297" w:rsidRDefault="007F2297" w:rsidP="00651F14">
      <w:r>
        <w:rPr>
          <w:noProof/>
        </w:rPr>
        <w:lastRenderedPageBreak/>
        <w:drawing>
          <wp:inline distT="0" distB="0" distL="0" distR="0" wp14:anchorId="5E66D91D" wp14:editId="3EC5D545">
            <wp:extent cx="8891270" cy="5612130"/>
            <wp:effectExtent l="0" t="0" r="508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91270" cy="5612130"/>
                    </a:xfrm>
                    <a:prstGeom prst="rect">
                      <a:avLst/>
                    </a:prstGeom>
                  </pic:spPr>
                </pic:pic>
              </a:graphicData>
            </a:graphic>
          </wp:inline>
        </w:drawing>
      </w:r>
    </w:p>
    <w:p w14:paraId="2603A672" w14:textId="040A3A30" w:rsidR="007F2297" w:rsidRDefault="007F2297" w:rsidP="00651F14"/>
    <w:tbl>
      <w:tblPr>
        <w:tblW w:w="12750" w:type="dxa"/>
        <w:jc w:val="center"/>
        <w:tblCellSpacing w:w="0" w:type="dxa"/>
        <w:tblCellMar>
          <w:top w:w="10" w:type="dxa"/>
          <w:left w:w="10" w:type="dxa"/>
          <w:bottom w:w="10" w:type="dxa"/>
          <w:right w:w="10" w:type="dxa"/>
        </w:tblCellMar>
        <w:tblLook w:val="04A0" w:firstRow="1" w:lastRow="0" w:firstColumn="1" w:lastColumn="0" w:noHBand="0" w:noVBand="1"/>
      </w:tblPr>
      <w:tblGrid>
        <w:gridCol w:w="11475"/>
        <w:gridCol w:w="1275"/>
      </w:tblGrid>
      <w:tr w:rsidR="0049643A" w:rsidRPr="0049643A" w14:paraId="74E53BBB" w14:textId="77777777" w:rsidTr="0049643A">
        <w:trPr>
          <w:trHeight w:val="250"/>
          <w:tblCellSpacing w:w="0" w:type="dxa"/>
          <w:jc w:val="center"/>
        </w:trPr>
        <w:tc>
          <w:tcPr>
            <w:tcW w:w="4500" w:type="pct"/>
            <w:tcBorders>
              <w:top w:val="nil"/>
              <w:left w:val="nil"/>
              <w:bottom w:val="nil"/>
              <w:right w:val="nil"/>
            </w:tcBorders>
            <w:shd w:val="clear" w:color="auto" w:fill="95B3D7"/>
            <w:vAlign w:val="center"/>
            <w:hideMark/>
          </w:tcPr>
          <w:p w14:paraId="51DEA995" w14:textId="77777777" w:rsidR="0049643A" w:rsidRPr="0049643A" w:rsidRDefault="0049643A" w:rsidP="0049643A">
            <w:pPr>
              <w:spacing w:after="0" w:line="240" w:lineRule="auto"/>
              <w:rPr>
                <w:rFonts w:eastAsia="Times New Roman" w:cstheme="minorHAnsi"/>
                <w:color w:val="000000"/>
                <w:lang w:eastAsia="pt-BR"/>
              </w:rPr>
            </w:pPr>
            <w:r w:rsidRPr="0049643A">
              <w:rPr>
                <w:rFonts w:eastAsia="Times New Roman" w:cstheme="minorHAnsi"/>
                <w:b/>
                <w:bCs/>
                <w:color w:val="000000"/>
                <w:lang w:eastAsia="pt-BR"/>
              </w:rPr>
              <w:lastRenderedPageBreak/>
              <w:t>Ação: 4540 - DESENVOLVIMENTO DO PROGRAMA DE SANGUE E HEMODERIVADOS</w:t>
            </w:r>
            <w:r w:rsidRPr="0049643A">
              <w:rPr>
                <w:rFonts w:eastAsia="Times New Roman" w:cstheme="minorHAnsi"/>
                <w:color w:val="000000"/>
                <w:lang w:eastAsia="pt-BR"/>
              </w:rPr>
              <w:t xml:space="preserve"> </w:t>
            </w:r>
          </w:p>
        </w:tc>
        <w:tc>
          <w:tcPr>
            <w:tcW w:w="500" w:type="pct"/>
            <w:tcBorders>
              <w:top w:val="nil"/>
              <w:left w:val="nil"/>
              <w:bottom w:val="nil"/>
              <w:right w:val="nil"/>
            </w:tcBorders>
            <w:shd w:val="clear" w:color="auto" w:fill="95B3D7"/>
            <w:vAlign w:val="center"/>
            <w:hideMark/>
          </w:tcPr>
          <w:p w14:paraId="661CAB51" w14:textId="77777777" w:rsidR="0049643A" w:rsidRPr="0049643A" w:rsidRDefault="0049643A" w:rsidP="0049643A">
            <w:pPr>
              <w:spacing w:after="0" w:line="240" w:lineRule="auto"/>
              <w:jc w:val="right"/>
              <w:rPr>
                <w:rFonts w:eastAsia="Times New Roman" w:cstheme="minorHAnsi"/>
                <w:color w:val="000000"/>
                <w:lang w:eastAsia="pt-BR"/>
              </w:rPr>
            </w:pPr>
            <w:r w:rsidRPr="0049643A">
              <w:rPr>
                <w:rFonts w:eastAsia="Times New Roman" w:cstheme="minorHAnsi"/>
                <w:b/>
                <w:bCs/>
                <w:color w:val="000000"/>
                <w:lang w:eastAsia="pt-BR"/>
              </w:rPr>
              <w:t>IAG: 0 </w:t>
            </w:r>
          </w:p>
        </w:tc>
      </w:tr>
    </w:tbl>
    <w:p w14:paraId="19317810" w14:textId="1F775A99" w:rsidR="0049643A" w:rsidRDefault="0049643A" w:rsidP="0049643A">
      <w:pPr>
        <w:numPr>
          <w:ilvl w:val="0"/>
          <w:numId w:val="17"/>
        </w:numPr>
        <w:spacing w:before="100" w:beforeAutospacing="1" w:after="100" w:afterAutospacing="1" w:line="240" w:lineRule="auto"/>
        <w:rPr>
          <w:rFonts w:eastAsia="Times New Roman" w:cstheme="minorHAnsi"/>
          <w:color w:val="000000"/>
          <w:lang w:eastAsia="pt-BR"/>
        </w:rPr>
      </w:pPr>
      <w:r w:rsidRPr="0049643A">
        <w:rPr>
          <w:rFonts w:eastAsia="Times New Roman" w:cstheme="minorHAnsi"/>
          <w:b/>
          <w:bCs/>
          <w:color w:val="000000"/>
          <w:lang w:eastAsia="pt-BR"/>
        </w:rPr>
        <w:t>Quinto Bimestre</w:t>
      </w:r>
      <w:r w:rsidRPr="0049643A">
        <w:rPr>
          <w:rFonts w:eastAsia="Times New Roman" w:cstheme="minorHAnsi"/>
          <w:color w:val="000000"/>
          <w:lang w:eastAsia="pt-BR"/>
        </w:rPr>
        <w:t xml:space="preserve"> </w:t>
      </w:r>
      <w:r w:rsidRPr="0049643A">
        <w:rPr>
          <w:rFonts w:eastAsia="Times New Roman" w:cstheme="minorHAnsi"/>
          <w:color w:val="000000"/>
          <w:lang w:eastAsia="pt-BR"/>
        </w:rPr>
        <w:br/>
      </w:r>
      <w:r w:rsidRPr="0049643A">
        <w:rPr>
          <w:rFonts w:eastAsia="Times New Roman" w:cstheme="minorHAnsi"/>
          <w:color w:val="000000"/>
          <w:lang w:eastAsia="pt-BR"/>
        </w:rPr>
        <w:br/>
      </w:r>
      <w:r w:rsidRPr="0049643A">
        <w:rPr>
          <w:rFonts w:eastAsia="Times New Roman" w:cstheme="minorHAnsi"/>
          <w:b/>
          <w:bCs/>
          <w:color w:val="000000"/>
          <w:lang w:eastAsia="pt-BR"/>
        </w:rPr>
        <w:t xml:space="preserve">Justificativa de Desempenho Jan-Out: </w:t>
      </w:r>
      <w:r w:rsidRPr="0049643A">
        <w:rPr>
          <w:rFonts w:eastAsia="Times New Roman" w:cstheme="minorHAnsi"/>
          <w:color w:val="000000"/>
          <w:lang w:eastAsia="pt-BR"/>
        </w:rPr>
        <w:t xml:space="preserve">Os resultados alcançados neste quinto bimestre de 2023, mesmo tendo atingido a meta, ainda </w:t>
      </w:r>
      <w:proofErr w:type="gramStart"/>
      <w:r w:rsidRPr="0049643A">
        <w:rPr>
          <w:rFonts w:eastAsia="Times New Roman" w:cstheme="minorHAnsi"/>
          <w:color w:val="000000"/>
          <w:lang w:eastAsia="pt-BR"/>
        </w:rPr>
        <w:t>mantém-se</w:t>
      </w:r>
      <w:proofErr w:type="gramEnd"/>
      <w:r w:rsidRPr="0049643A">
        <w:rPr>
          <w:rFonts w:eastAsia="Times New Roman" w:cstheme="minorHAnsi"/>
          <w:color w:val="000000"/>
          <w:lang w:eastAsia="pt-BR"/>
        </w:rPr>
        <w:t xml:space="preserve"> a necessidade de intensificação de coletas externas, manutenção da abertura das Unidades em horários alternativos como coletas noturnas, aos sábados, feriados e pontos facultativos e implantação de novos </w:t>
      </w:r>
      <w:proofErr w:type="spellStart"/>
      <w:r w:rsidRPr="0049643A">
        <w:rPr>
          <w:rFonts w:eastAsia="Times New Roman" w:cstheme="minorHAnsi"/>
          <w:color w:val="000000"/>
          <w:lang w:eastAsia="pt-BR"/>
        </w:rPr>
        <w:t>PACEs</w:t>
      </w:r>
      <w:proofErr w:type="spellEnd"/>
      <w:r w:rsidRPr="0049643A">
        <w:rPr>
          <w:rFonts w:eastAsia="Times New Roman" w:cstheme="minorHAnsi"/>
          <w:color w:val="000000"/>
          <w:lang w:eastAsia="pt-BR"/>
        </w:rPr>
        <w:t xml:space="preserve"> que estão em negociação com municípios do Estado. </w:t>
      </w:r>
      <w:r w:rsidRPr="0049643A">
        <w:rPr>
          <w:rFonts w:eastAsia="Times New Roman" w:cstheme="minorHAnsi"/>
          <w:color w:val="000000"/>
          <w:lang w:eastAsia="pt-BR"/>
        </w:rPr>
        <w:br/>
      </w:r>
      <w:r w:rsidRPr="0049643A">
        <w:rPr>
          <w:rFonts w:eastAsia="Times New Roman" w:cstheme="minorHAnsi"/>
          <w:color w:val="000000"/>
          <w:lang w:eastAsia="pt-BR"/>
        </w:rPr>
        <w:br/>
      </w:r>
      <w:r w:rsidRPr="0049643A">
        <w:rPr>
          <w:rFonts w:eastAsia="Times New Roman" w:cstheme="minorHAnsi"/>
          <w:b/>
          <w:bCs/>
          <w:color w:val="000000"/>
          <w:lang w:eastAsia="pt-BR"/>
        </w:rPr>
        <w:t xml:space="preserve">Outras informações de situação: </w:t>
      </w:r>
      <w:r w:rsidRPr="0049643A">
        <w:rPr>
          <w:rFonts w:eastAsia="Times New Roman" w:cstheme="minorHAnsi"/>
          <w:color w:val="000000"/>
          <w:lang w:eastAsia="pt-BR"/>
        </w:rPr>
        <w:t xml:space="preserve">No quinto bimestre/2023 foram produzidos 118.708 hemocomponentes, percebemos que quando comparamos com o quarto bimestre/2023 (119.968), houve redução de 1.260 hemocomponentes, mesmo assim podemos classificar o resultado como satisfatório. </w:t>
      </w:r>
      <w:proofErr w:type="spellStart"/>
      <w:r w:rsidRPr="0049643A">
        <w:rPr>
          <w:rFonts w:eastAsia="Times New Roman" w:cstheme="minorHAnsi"/>
          <w:color w:val="000000"/>
          <w:lang w:eastAsia="pt-BR"/>
        </w:rPr>
        <w:t>Obs</w:t>
      </w:r>
      <w:proofErr w:type="spellEnd"/>
      <w:r w:rsidRPr="0049643A">
        <w:rPr>
          <w:rFonts w:eastAsia="Times New Roman" w:cstheme="minorHAnsi"/>
          <w:color w:val="000000"/>
          <w:lang w:eastAsia="pt-BR"/>
        </w:rPr>
        <w:t>: a produção de ITU e PMI está somada em UDI.</w:t>
      </w:r>
      <w:r w:rsidRPr="0049643A">
        <w:rPr>
          <w:rFonts w:eastAsia="Times New Roman" w:cstheme="minorHAnsi"/>
          <w:color w:val="000000"/>
          <w:lang w:eastAsia="pt-BR"/>
        </w:rPr>
        <w:br/>
      </w:r>
      <w:r w:rsidRPr="0049643A">
        <w:rPr>
          <w:rFonts w:eastAsia="Times New Roman" w:cstheme="minorHAnsi"/>
          <w:color w:val="000000"/>
          <w:lang w:eastAsia="pt-BR"/>
        </w:rPr>
        <w:br/>
        <w:t>O projeto de regionalização tem como objetivo geral estruturar e ampliar a rede de produção de hemocomponentes por meio de centrais de produção regionalizadas nos hemocentros da Fundação Hemominas, em consonância com os serviços de alta complexidade e rede de urgência/emergência dessas regiões. O processo de regionalização visa a concentração da produção de hemocomponentes somente nas maiores unidades da Fundação Hemominas, enquanto as demais realizam a coleta de sangue total dos doadores e enviam para as centrais de produção. Foram definidos 6 centros produtores sendo: Hemocentro de Uberlândia, Hemocentro de Montes Claros, Hemocentro de Belo Horizonte, Hemocentro de Juiz de Fora, Hemocentro de Governador Valadares e Unidade de Coleta de Poços de Caldas.</w:t>
      </w:r>
      <w:r w:rsidRPr="0049643A">
        <w:rPr>
          <w:rFonts w:eastAsia="Times New Roman" w:cstheme="minorHAnsi"/>
          <w:color w:val="000000"/>
          <w:lang w:eastAsia="pt-BR"/>
        </w:rPr>
        <w:br/>
        <w:t>Com a implementação das centrais de produção a Fundação Hemominas pretende-se melhorar a produtividade das unidades, com otimização de recursos humanos e redução importante dos custos fixos das unidades de coleta. Além disso, o aumento de escala de produção em número reduzido de centros, com mais automação e qualificação das equipes, possibilita o incremento na qualidade dos produtos fornecidos para transfusão.</w:t>
      </w:r>
      <w:r w:rsidRPr="0049643A">
        <w:rPr>
          <w:rFonts w:eastAsia="Times New Roman" w:cstheme="minorHAnsi"/>
          <w:color w:val="000000"/>
          <w:lang w:eastAsia="pt-BR"/>
        </w:rPr>
        <w:br/>
      </w:r>
      <w:r w:rsidRPr="0049643A">
        <w:rPr>
          <w:rFonts w:eastAsia="Times New Roman" w:cstheme="minorHAnsi"/>
          <w:color w:val="000000"/>
          <w:lang w:eastAsia="pt-BR"/>
        </w:rPr>
        <w:br/>
        <w:t xml:space="preserve">Os resultados alcançados neste quinto bimestre de 2023, demonstram que há necessidade constante na intensificação de coletas externas, manutenção da abertura das Unidades em horários alternativos como coletas noturnas, aos sábados, feriados e pontos facultativos e implantação de novos </w:t>
      </w:r>
      <w:proofErr w:type="spellStart"/>
      <w:r w:rsidRPr="0049643A">
        <w:rPr>
          <w:rFonts w:eastAsia="Times New Roman" w:cstheme="minorHAnsi"/>
          <w:color w:val="000000"/>
          <w:lang w:eastAsia="pt-BR"/>
        </w:rPr>
        <w:t>PACEs</w:t>
      </w:r>
      <w:proofErr w:type="spellEnd"/>
      <w:r w:rsidRPr="0049643A">
        <w:rPr>
          <w:rFonts w:eastAsia="Times New Roman" w:cstheme="minorHAnsi"/>
          <w:color w:val="000000"/>
          <w:lang w:eastAsia="pt-BR"/>
        </w:rPr>
        <w:t xml:space="preserve"> que estão em negociação com municípios do Estado. </w:t>
      </w:r>
    </w:p>
    <w:p w14:paraId="40DB5335" w14:textId="3913F7DD" w:rsidR="00C13A6B" w:rsidRDefault="00C13A6B" w:rsidP="00C13A6B">
      <w:pPr>
        <w:spacing w:before="100" w:beforeAutospacing="1" w:after="100" w:afterAutospacing="1" w:line="240" w:lineRule="auto"/>
        <w:rPr>
          <w:rFonts w:eastAsia="Times New Roman" w:cstheme="minorHAnsi"/>
          <w:color w:val="000000"/>
          <w:lang w:eastAsia="pt-BR"/>
        </w:rPr>
      </w:pPr>
    </w:p>
    <w:p w14:paraId="4E18AA6F" w14:textId="234F334D" w:rsidR="00C13A6B" w:rsidRDefault="00C13A6B" w:rsidP="00C13A6B">
      <w:pPr>
        <w:spacing w:before="100" w:beforeAutospacing="1" w:after="100" w:afterAutospacing="1" w:line="240" w:lineRule="auto"/>
        <w:rPr>
          <w:rFonts w:eastAsia="Times New Roman" w:cstheme="minorHAnsi"/>
          <w:color w:val="000000"/>
          <w:lang w:eastAsia="pt-BR"/>
        </w:rPr>
      </w:pPr>
    </w:p>
    <w:p w14:paraId="306FD5AF" w14:textId="4D6563B4" w:rsidR="00C13A6B" w:rsidRDefault="00C13A6B" w:rsidP="00C13A6B">
      <w:pPr>
        <w:spacing w:before="100" w:beforeAutospacing="1" w:after="100" w:afterAutospacing="1" w:line="240" w:lineRule="auto"/>
        <w:rPr>
          <w:rFonts w:eastAsia="Times New Roman" w:cstheme="minorHAnsi"/>
          <w:color w:val="000000"/>
          <w:lang w:eastAsia="pt-BR"/>
        </w:rPr>
      </w:pPr>
    </w:p>
    <w:p w14:paraId="45AED505" w14:textId="5F2EF87B" w:rsidR="00C13A6B" w:rsidRDefault="00C13A6B" w:rsidP="00C13A6B">
      <w:pPr>
        <w:spacing w:before="100" w:beforeAutospacing="1" w:after="100" w:afterAutospacing="1" w:line="240" w:lineRule="auto"/>
        <w:rPr>
          <w:rFonts w:eastAsia="Times New Roman" w:cstheme="minorHAnsi"/>
          <w:color w:val="000000"/>
          <w:lang w:eastAsia="pt-BR"/>
        </w:rPr>
      </w:pPr>
    </w:p>
    <w:p w14:paraId="27FF7475" w14:textId="78150FBD" w:rsidR="00C13A6B" w:rsidRPr="0049643A" w:rsidRDefault="00C13A6B" w:rsidP="00C13A6B">
      <w:pPr>
        <w:spacing w:before="100" w:beforeAutospacing="1" w:after="100" w:afterAutospacing="1" w:line="240" w:lineRule="auto"/>
        <w:rPr>
          <w:rFonts w:eastAsia="Times New Roman" w:cstheme="minorHAnsi"/>
          <w:color w:val="000000"/>
          <w:lang w:eastAsia="pt-BR"/>
        </w:rPr>
      </w:pPr>
      <w:r>
        <w:rPr>
          <w:noProof/>
        </w:rPr>
        <w:lastRenderedPageBreak/>
        <w:drawing>
          <wp:inline distT="0" distB="0" distL="0" distR="0" wp14:anchorId="5B09B0F5" wp14:editId="0AC00B2D">
            <wp:extent cx="8891270" cy="5319395"/>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1270" cy="5319395"/>
                    </a:xfrm>
                    <a:prstGeom prst="rect">
                      <a:avLst/>
                    </a:prstGeom>
                  </pic:spPr>
                </pic:pic>
              </a:graphicData>
            </a:graphic>
          </wp:inline>
        </w:drawing>
      </w:r>
    </w:p>
    <w:p w14:paraId="1766EDA0" w14:textId="047983B6" w:rsidR="007F2297" w:rsidRDefault="007F2297" w:rsidP="00651F14"/>
    <w:p w14:paraId="44BE7FBC" w14:textId="5B3725FD" w:rsidR="00C13A6B" w:rsidRDefault="00C13A6B" w:rsidP="00651F14"/>
    <w:tbl>
      <w:tblPr>
        <w:tblW w:w="12750" w:type="dxa"/>
        <w:jc w:val="center"/>
        <w:tblCellSpacing w:w="0" w:type="dxa"/>
        <w:tblCellMar>
          <w:top w:w="10" w:type="dxa"/>
          <w:left w:w="10" w:type="dxa"/>
          <w:bottom w:w="10" w:type="dxa"/>
          <w:right w:w="10" w:type="dxa"/>
        </w:tblCellMar>
        <w:tblLook w:val="04A0" w:firstRow="1" w:lastRow="0" w:firstColumn="1" w:lastColumn="0" w:noHBand="0" w:noVBand="1"/>
      </w:tblPr>
      <w:tblGrid>
        <w:gridCol w:w="11475"/>
        <w:gridCol w:w="1275"/>
      </w:tblGrid>
      <w:tr w:rsidR="00C13A6B" w:rsidRPr="00C13A6B" w14:paraId="22151985" w14:textId="77777777" w:rsidTr="00C13A6B">
        <w:trPr>
          <w:trHeight w:val="250"/>
          <w:tblCellSpacing w:w="0" w:type="dxa"/>
          <w:jc w:val="center"/>
        </w:trPr>
        <w:tc>
          <w:tcPr>
            <w:tcW w:w="4500" w:type="pct"/>
            <w:tcBorders>
              <w:top w:val="nil"/>
              <w:left w:val="nil"/>
              <w:bottom w:val="nil"/>
              <w:right w:val="nil"/>
            </w:tcBorders>
            <w:shd w:val="clear" w:color="auto" w:fill="95B3D7"/>
            <w:vAlign w:val="center"/>
            <w:hideMark/>
          </w:tcPr>
          <w:p w14:paraId="527BB481" w14:textId="77777777" w:rsidR="00C13A6B" w:rsidRPr="00C13A6B" w:rsidRDefault="00C13A6B" w:rsidP="00C13A6B">
            <w:pPr>
              <w:spacing w:after="0" w:line="240" w:lineRule="auto"/>
              <w:rPr>
                <w:rFonts w:eastAsia="Times New Roman" w:cstheme="minorHAnsi"/>
                <w:color w:val="000000"/>
                <w:lang w:eastAsia="pt-BR"/>
              </w:rPr>
            </w:pPr>
            <w:r w:rsidRPr="00C13A6B">
              <w:rPr>
                <w:rFonts w:eastAsia="Times New Roman" w:cstheme="minorHAnsi"/>
                <w:b/>
                <w:bCs/>
                <w:color w:val="000000"/>
                <w:lang w:eastAsia="pt-BR"/>
              </w:rPr>
              <w:lastRenderedPageBreak/>
              <w:t>Ação: 4540 - DESENVOLVIMENTO DO PROGRAMA DE SANGUE E HEMODERIVADOS</w:t>
            </w:r>
            <w:r w:rsidRPr="00C13A6B">
              <w:rPr>
                <w:rFonts w:eastAsia="Times New Roman" w:cstheme="minorHAnsi"/>
                <w:color w:val="000000"/>
                <w:lang w:eastAsia="pt-BR"/>
              </w:rPr>
              <w:t xml:space="preserve"> </w:t>
            </w:r>
          </w:p>
        </w:tc>
        <w:tc>
          <w:tcPr>
            <w:tcW w:w="500" w:type="pct"/>
            <w:tcBorders>
              <w:top w:val="nil"/>
              <w:left w:val="nil"/>
              <w:bottom w:val="nil"/>
              <w:right w:val="nil"/>
            </w:tcBorders>
            <w:shd w:val="clear" w:color="auto" w:fill="95B3D7"/>
            <w:vAlign w:val="center"/>
            <w:hideMark/>
          </w:tcPr>
          <w:p w14:paraId="6EC8A2A9" w14:textId="77777777" w:rsidR="00C13A6B" w:rsidRPr="00C13A6B" w:rsidRDefault="00C13A6B" w:rsidP="00C13A6B">
            <w:pPr>
              <w:spacing w:after="0" w:line="240" w:lineRule="auto"/>
              <w:jc w:val="right"/>
              <w:rPr>
                <w:rFonts w:eastAsia="Times New Roman" w:cstheme="minorHAnsi"/>
                <w:color w:val="000000"/>
                <w:lang w:eastAsia="pt-BR"/>
              </w:rPr>
            </w:pPr>
            <w:r w:rsidRPr="00C13A6B">
              <w:rPr>
                <w:rFonts w:eastAsia="Times New Roman" w:cstheme="minorHAnsi"/>
                <w:b/>
                <w:bCs/>
                <w:color w:val="000000"/>
                <w:lang w:eastAsia="pt-BR"/>
              </w:rPr>
              <w:t>IAG: 0 </w:t>
            </w:r>
          </w:p>
        </w:tc>
      </w:tr>
    </w:tbl>
    <w:p w14:paraId="1E80BAFE" w14:textId="77777777" w:rsidR="00C13A6B" w:rsidRPr="00C13A6B" w:rsidRDefault="00C13A6B" w:rsidP="00C13A6B">
      <w:pPr>
        <w:numPr>
          <w:ilvl w:val="0"/>
          <w:numId w:val="18"/>
        </w:numPr>
        <w:spacing w:before="100" w:beforeAutospacing="1" w:after="100" w:afterAutospacing="1" w:line="240" w:lineRule="auto"/>
        <w:rPr>
          <w:rFonts w:eastAsia="Times New Roman" w:cstheme="minorHAnsi"/>
          <w:color w:val="000000"/>
          <w:lang w:eastAsia="pt-BR"/>
        </w:rPr>
      </w:pPr>
      <w:r w:rsidRPr="00C13A6B">
        <w:rPr>
          <w:rFonts w:eastAsia="Times New Roman" w:cstheme="minorHAnsi"/>
          <w:b/>
          <w:bCs/>
          <w:color w:val="000000"/>
          <w:lang w:eastAsia="pt-BR"/>
        </w:rPr>
        <w:t>Sexto Bimestre</w:t>
      </w:r>
      <w:r w:rsidRPr="00C13A6B">
        <w:rPr>
          <w:rFonts w:eastAsia="Times New Roman" w:cstheme="minorHAnsi"/>
          <w:color w:val="000000"/>
          <w:lang w:eastAsia="pt-BR"/>
        </w:rPr>
        <w:t xml:space="preserve"> </w:t>
      </w:r>
      <w:r w:rsidRPr="00C13A6B">
        <w:rPr>
          <w:rFonts w:eastAsia="Times New Roman" w:cstheme="minorHAnsi"/>
          <w:color w:val="000000"/>
          <w:lang w:eastAsia="pt-BR"/>
        </w:rPr>
        <w:br/>
      </w:r>
      <w:r w:rsidRPr="00C13A6B">
        <w:rPr>
          <w:rFonts w:eastAsia="Times New Roman" w:cstheme="minorHAnsi"/>
          <w:color w:val="000000"/>
          <w:lang w:eastAsia="pt-BR"/>
        </w:rPr>
        <w:br/>
      </w:r>
      <w:r w:rsidRPr="00C13A6B">
        <w:rPr>
          <w:rFonts w:eastAsia="Times New Roman" w:cstheme="minorHAnsi"/>
          <w:b/>
          <w:bCs/>
          <w:color w:val="000000"/>
          <w:lang w:eastAsia="pt-BR"/>
        </w:rPr>
        <w:t xml:space="preserve">Justificativa de Desempenho Jan-Dez: </w:t>
      </w:r>
      <w:r w:rsidRPr="00C13A6B">
        <w:rPr>
          <w:rFonts w:eastAsia="Times New Roman" w:cstheme="minorHAnsi"/>
          <w:color w:val="000000"/>
          <w:lang w:eastAsia="pt-BR"/>
        </w:rPr>
        <w:t xml:space="preserve">O resultado subestimado está relacionado com o aumento das coletas externas, manutenção da abertura das Unidades em horários alternativos como coletas noturnas, aos sábados, feriados e pontos facultativos e implantação de novos </w:t>
      </w:r>
      <w:proofErr w:type="spellStart"/>
      <w:r w:rsidRPr="00C13A6B">
        <w:rPr>
          <w:rFonts w:eastAsia="Times New Roman" w:cstheme="minorHAnsi"/>
          <w:color w:val="000000"/>
          <w:lang w:eastAsia="pt-BR"/>
        </w:rPr>
        <w:t>PACEs</w:t>
      </w:r>
      <w:proofErr w:type="spellEnd"/>
      <w:r w:rsidRPr="00C13A6B">
        <w:rPr>
          <w:rFonts w:eastAsia="Times New Roman" w:cstheme="minorHAnsi"/>
          <w:color w:val="000000"/>
          <w:lang w:eastAsia="pt-BR"/>
        </w:rPr>
        <w:t xml:space="preserve">, além do aumento de doações ocorrido na semana do dia 25/11/2023, em comemoração ao Dia do Doador de Sangue, que impactaram positivamente no resultado final. </w:t>
      </w:r>
      <w:r w:rsidRPr="00C13A6B">
        <w:rPr>
          <w:rFonts w:eastAsia="Times New Roman" w:cstheme="minorHAnsi"/>
          <w:color w:val="000000"/>
          <w:lang w:eastAsia="pt-BR"/>
        </w:rPr>
        <w:br/>
      </w:r>
      <w:r w:rsidRPr="00C13A6B">
        <w:rPr>
          <w:rFonts w:eastAsia="Times New Roman" w:cstheme="minorHAnsi"/>
          <w:color w:val="000000"/>
          <w:lang w:eastAsia="pt-BR"/>
        </w:rPr>
        <w:br/>
      </w:r>
      <w:r w:rsidRPr="00C13A6B">
        <w:rPr>
          <w:rFonts w:eastAsia="Times New Roman" w:cstheme="minorHAnsi"/>
          <w:b/>
          <w:bCs/>
          <w:color w:val="000000"/>
          <w:lang w:eastAsia="pt-BR"/>
        </w:rPr>
        <w:t xml:space="preserve">Outras informações de situação: </w:t>
      </w:r>
      <w:r w:rsidRPr="00C13A6B">
        <w:rPr>
          <w:rFonts w:eastAsia="Times New Roman" w:cstheme="minorHAnsi"/>
          <w:color w:val="000000"/>
          <w:lang w:eastAsia="pt-BR"/>
        </w:rPr>
        <w:t xml:space="preserve">No sexto bimestre/2023 foram produzidos 128.362 hemocomponentes, percebemos que quando comparamos com o quinto bimestre/2023 (118.708), houve aumento de 9.654 hemocomponentes, portanto podemos classificar o resultado como satisfatório. </w:t>
      </w:r>
      <w:proofErr w:type="spellStart"/>
      <w:r w:rsidRPr="00C13A6B">
        <w:rPr>
          <w:rFonts w:eastAsia="Times New Roman" w:cstheme="minorHAnsi"/>
          <w:color w:val="000000"/>
          <w:lang w:eastAsia="pt-BR"/>
        </w:rPr>
        <w:t>Obs</w:t>
      </w:r>
      <w:proofErr w:type="spellEnd"/>
      <w:r w:rsidRPr="00C13A6B">
        <w:rPr>
          <w:rFonts w:eastAsia="Times New Roman" w:cstheme="minorHAnsi"/>
          <w:color w:val="000000"/>
          <w:lang w:eastAsia="pt-BR"/>
        </w:rPr>
        <w:t xml:space="preserve">: a produção de ITU está somada à produção de UDI. </w:t>
      </w:r>
    </w:p>
    <w:p w14:paraId="6DB93AD1" w14:textId="77777777" w:rsidR="00C13A6B" w:rsidRPr="00651F14" w:rsidRDefault="00C13A6B" w:rsidP="00651F14"/>
    <w:sectPr w:rsidR="00C13A6B" w:rsidRPr="00651F14" w:rsidSect="001053E6">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B70"/>
    <w:multiLevelType w:val="multilevel"/>
    <w:tmpl w:val="8B3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72418"/>
    <w:multiLevelType w:val="hybridMultilevel"/>
    <w:tmpl w:val="8C8EAF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08DA3EF0"/>
    <w:multiLevelType w:val="multilevel"/>
    <w:tmpl w:val="81E2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A772A"/>
    <w:multiLevelType w:val="multilevel"/>
    <w:tmpl w:val="C2BC328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1C0F1936"/>
    <w:multiLevelType w:val="multilevel"/>
    <w:tmpl w:val="AF5A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C667B"/>
    <w:multiLevelType w:val="multilevel"/>
    <w:tmpl w:val="8A2C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7314F"/>
    <w:multiLevelType w:val="multilevel"/>
    <w:tmpl w:val="D5E0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2471F"/>
    <w:multiLevelType w:val="multilevel"/>
    <w:tmpl w:val="7992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70ADC"/>
    <w:multiLevelType w:val="multilevel"/>
    <w:tmpl w:val="7B3E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E3574"/>
    <w:multiLevelType w:val="multilevel"/>
    <w:tmpl w:val="CE98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F63F1"/>
    <w:multiLevelType w:val="multilevel"/>
    <w:tmpl w:val="A788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A0F7B"/>
    <w:multiLevelType w:val="multilevel"/>
    <w:tmpl w:val="0E10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C2F62"/>
    <w:multiLevelType w:val="multilevel"/>
    <w:tmpl w:val="1DD2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9716A"/>
    <w:multiLevelType w:val="multilevel"/>
    <w:tmpl w:val="6664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B4102"/>
    <w:multiLevelType w:val="multilevel"/>
    <w:tmpl w:val="60CA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362B0"/>
    <w:multiLevelType w:val="multilevel"/>
    <w:tmpl w:val="6738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7145D5"/>
    <w:multiLevelType w:val="multilevel"/>
    <w:tmpl w:val="792C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80022C"/>
    <w:multiLevelType w:val="multilevel"/>
    <w:tmpl w:val="192A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4"/>
  </w:num>
  <w:num w:numId="4">
    <w:abstractNumId w:val="9"/>
  </w:num>
  <w:num w:numId="5">
    <w:abstractNumId w:val="6"/>
  </w:num>
  <w:num w:numId="6">
    <w:abstractNumId w:val="12"/>
  </w:num>
  <w:num w:numId="7">
    <w:abstractNumId w:val="0"/>
  </w:num>
  <w:num w:numId="8">
    <w:abstractNumId w:val="17"/>
  </w:num>
  <w:num w:numId="9">
    <w:abstractNumId w:val="10"/>
  </w:num>
  <w:num w:numId="10">
    <w:abstractNumId w:val="8"/>
  </w:num>
  <w:num w:numId="11">
    <w:abstractNumId w:val="2"/>
  </w:num>
  <w:num w:numId="12">
    <w:abstractNumId w:val="7"/>
  </w:num>
  <w:num w:numId="13">
    <w:abstractNumId w:val="3"/>
  </w:num>
  <w:num w:numId="14">
    <w:abstractNumId w:val="16"/>
  </w:num>
  <w:num w:numId="15">
    <w:abstractNumId w:val="11"/>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E6"/>
    <w:rsid w:val="000B2466"/>
    <w:rsid w:val="001053E6"/>
    <w:rsid w:val="0015488A"/>
    <w:rsid w:val="00211EDE"/>
    <w:rsid w:val="00225A5F"/>
    <w:rsid w:val="00321FE8"/>
    <w:rsid w:val="004201EC"/>
    <w:rsid w:val="00420796"/>
    <w:rsid w:val="0049643A"/>
    <w:rsid w:val="00651F14"/>
    <w:rsid w:val="00687A8B"/>
    <w:rsid w:val="006A2290"/>
    <w:rsid w:val="006B2247"/>
    <w:rsid w:val="00725108"/>
    <w:rsid w:val="00755F30"/>
    <w:rsid w:val="007B39E3"/>
    <w:rsid w:val="007E2F0B"/>
    <w:rsid w:val="007F2297"/>
    <w:rsid w:val="0093210D"/>
    <w:rsid w:val="00994F18"/>
    <w:rsid w:val="00A738D5"/>
    <w:rsid w:val="00B13325"/>
    <w:rsid w:val="00BA34C4"/>
    <w:rsid w:val="00C13A6B"/>
    <w:rsid w:val="00C2398F"/>
    <w:rsid w:val="00C32DC0"/>
    <w:rsid w:val="00C4214C"/>
    <w:rsid w:val="00C44E1B"/>
    <w:rsid w:val="00C84DFB"/>
    <w:rsid w:val="00C85E8B"/>
    <w:rsid w:val="00C915FA"/>
    <w:rsid w:val="00CC783F"/>
    <w:rsid w:val="00CF605F"/>
    <w:rsid w:val="00DB3AB1"/>
    <w:rsid w:val="00EC3BE9"/>
    <w:rsid w:val="00FF77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9DC3"/>
  <w15:chartTrackingRefBased/>
  <w15:docId w15:val="{1F2AD18F-1A84-4894-BB76-3F29F3A3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053E6"/>
    <w:pPr>
      <w:ind w:left="720"/>
      <w:contextualSpacing/>
    </w:pPr>
  </w:style>
  <w:style w:type="character" w:styleId="Forte">
    <w:name w:val="Strong"/>
    <w:basedOn w:val="Fontepargpadro"/>
    <w:uiPriority w:val="22"/>
    <w:qFormat/>
    <w:rsid w:val="006B2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3652">
      <w:bodyDiv w:val="1"/>
      <w:marLeft w:val="0"/>
      <w:marRight w:val="0"/>
      <w:marTop w:val="0"/>
      <w:marBottom w:val="0"/>
      <w:divBdr>
        <w:top w:val="none" w:sz="0" w:space="0" w:color="auto"/>
        <w:left w:val="none" w:sz="0" w:space="0" w:color="auto"/>
        <w:bottom w:val="none" w:sz="0" w:space="0" w:color="auto"/>
        <w:right w:val="none" w:sz="0" w:space="0" w:color="auto"/>
      </w:divBdr>
      <w:divsChild>
        <w:div w:id="394593400">
          <w:marLeft w:val="0"/>
          <w:marRight w:val="0"/>
          <w:marTop w:val="0"/>
          <w:marBottom w:val="0"/>
          <w:divBdr>
            <w:top w:val="none" w:sz="0" w:space="0" w:color="auto"/>
            <w:left w:val="none" w:sz="0" w:space="0" w:color="auto"/>
            <w:bottom w:val="none" w:sz="0" w:space="0" w:color="auto"/>
            <w:right w:val="none" w:sz="0" w:space="0" w:color="auto"/>
          </w:divBdr>
        </w:div>
      </w:divsChild>
    </w:div>
    <w:div w:id="151263471">
      <w:bodyDiv w:val="1"/>
      <w:marLeft w:val="0"/>
      <w:marRight w:val="0"/>
      <w:marTop w:val="0"/>
      <w:marBottom w:val="0"/>
      <w:divBdr>
        <w:top w:val="none" w:sz="0" w:space="0" w:color="auto"/>
        <w:left w:val="none" w:sz="0" w:space="0" w:color="auto"/>
        <w:bottom w:val="none" w:sz="0" w:space="0" w:color="auto"/>
        <w:right w:val="none" w:sz="0" w:space="0" w:color="auto"/>
      </w:divBdr>
      <w:divsChild>
        <w:div w:id="13386013">
          <w:marLeft w:val="0"/>
          <w:marRight w:val="0"/>
          <w:marTop w:val="0"/>
          <w:marBottom w:val="0"/>
          <w:divBdr>
            <w:top w:val="none" w:sz="0" w:space="0" w:color="auto"/>
            <w:left w:val="none" w:sz="0" w:space="0" w:color="auto"/>
            <w:bottom w:val="none" w:sz="0" w:space="0" w:color="auto"/>
            <w:right w:val="none" w:sz="0" w:space="0" w:color="auto"/>
          </w:divBdr>
        </w:div>
      </w:divsChild>
    </w:div>
    <w:div w:id="345444179">
      <w:bodyDiv w:val="1"/>
      <w:marLeft w:val="0"/>
      <w:marRight w:val="0"/>
      <w:marTop w:val="0"/>
      <w:marBottom w:val="0"/>
      <w:divBdr>
        <w:top w:val="none" w:sz="0" w:space="0" w:color="auto"/>
        <w:left w:val="none" w:sz="0" w:space="0" w:color="auto"/>
        <w:bottom w:val="none" w:sz="0" w:space="0" w:color="auto"/>
        <w:right w:val="none" w:sz="0" w:space="0" w:color="auto"/>
      </w:divBdr>
      <w:divsChild>
        <w:div w:id="990867124">
          <w:marLeft w:val="0"/>
          <w:marRight w:val="0"/>
          <w:marTop w:val="0"/>
          <w:marBottom w:val="0"/>
          <w:divBdr>
            <w:top w:val="none" w:sz="0" w:space="0" w:color="auto"/>
            <w:left w:val="none" w:sz="0" w:space="0" w:color="auto"/>
            <w:bottom w:val="none" w:sz="0" w:space="0" w:color="auto"/>
            <w:right w:val="none" w:sz="0" w:space="0" w:color="auto"/>
          </w:divBdr>
        </w:div>
      </w:divsChild>
    </w:div>
    <w:div w:id="351535234">
      <w:bodyDiv w:val="1"/>
      <w:marLeft w:val="0"/>
      <w:marRight w:val="0"/>
      <w:marTop w:val="0"/>
      <w:marBottom w:val="0"/>
      <w:divBdr>
        <w:top w:val="none" w:sz="0" w:space="0" w:color="auto"/>
        <w:left w:val="none" w:sz="0" w:space="0" w:color="auto"/>
        <w:bottom w:val="none" w:sz="0" w:space="0" w:color="auto"/>
        <w:right w:val="none" w:sz="0" w:space="0" w:color="auto"/>
      </w:divBdr>
      <w:divsChild>
        <w:div w:id="1367414759">
          <w:marLeft w:val="0"/>
          <w:marRight w:val="0"/>
          <w:marTop w:val="0"/>
          <w:marBottom w:val="0"/>
          <w:divBdr>
            <w:top w:val="none" w:sz="0" w:space="0" w:color="auto"/>
            <w:left w:val="none" w:sz="0" w:space="0" w:color="auto"/>
            <w:bottom w:val="none" w:sz="0" w:space="0" w:color="auto"/>
            <w:right w:val="none" w:sz="0" w:space="0" w:color="auto"/>
          </w:divBdr>
        </w:div>
      </w:divsChild>
    </w:div>
    <w:div w:id="691339927">
      <w:bodyDiv w:val="1"/>
      <w:marLeft w:val="0"/>
      <w:marRight w:val="0"/>
      <w:marTop w:val="0"/>
      <w:marBottom w:val="0"/>
      <w:divBdr>
        <w:top w:val="none" w:sz="0" w:space="0" w:color="auto"/>
        <w:left w:val="none" w:sz="0" w:space="0" w:color="auto"/>
        <w:bottom w:val="none" w:sz="0" w:space="0" w:color="auto"/>
        <w:right w:val="none" w:sz="0" w:space="0" w:color="auto"/>
      </w:divBdr>
      <w:divsChild>
        <w:div w:id="94524453">
          <w:marLeft w:val="0"/>
          <w:marRight w:val="0"/>
          <w:marTop w:val="0"/>
          <w:marBottom w:val="0"/>
          <w:divBdr>
            <w:top w:val="none" w:sz="0" w:space="0" w:color="auto"/>
            <w:left w:val="none" w:sz="0" w:space="0" w:color="auto"/>
            <w:bottom w:val="none" w:sz="0" w:space="0" w:color="auto"/>
            <w:right w:val="none" w:sz="0" w:space="0" w:color="auto"/>
          </w:divBdr>
        </w:div>
      </w:divsChild>
    </w:div>
    <w:div w:id="780105998">
      <w:bodyDiv w:val="1"/>
      <w:marLeft w:val="0"/>
      <w:marRight w:val="0"/>
      <w:marTop w:val="0"/>
      <w:marBottom w:val="0"/>
      <w:divBdr>
        <w:top w:val="none" w:sz="0" w:space="0" w:color="auto"/>
        <w:left w:val="none" w:sz="0" w:space="0" w:color="auto"/>
        <w:bottom w:val="none" w:sz="0" w:space="0" w:color="auto"/>
        <w:right w:val="none" w:sz="0" w:space="0" w:color="auto"/>
      </w:divBdr>
      <w:divsChild>
        <w:div w:id="1477144391">
          <w:marLeft w:val="0"/>
          <w:marRight w:val="0"/>
          <w:marTop w:val="0"/>
          <w:marBottom w:val="0"/>
          <w:divBdr>
            <w:top w:val="none" w:sz="0" w:space="0" w:color="auto"/>
            <w:left w:val="none" w:sz="0" w:space="0" w:color="auto"/>
            <w:bottom w:val="none" w:sz="0" w:space="0" w:color="auto"/>
            <w:right w:val="none" w:sz="0" w:space="0" w:color="auto"/>
          </w:divBdr>
        </w:div>
      </w:divsChild>
    </w:div>
    <w:div w:id="837385883">
      <w:bodyDiv w:val="1"/>
      <w:marLeft w:val="0"/>
      <w:marRight w:val="0"/>
      <w:marTop w:val="0"/>
      <w:marBottom w:val="0"/>
      <w:divBdr>
        <w:top w:val="none" w:sz="0" w:space="0" w:color="auto"/>
        <w:left w:val="none" w:sz="0" w:space="0" w:color="auto"/>
        <w:bottom w:val="none" w:sz="0" w:space="0" w:color="auto"/>
        <w:right w:val="none" w:sz="0" w:space="0" w:color="auto"/>
      </w:divBdr>
      <w:divsChild>
        <w:div w:id="908615351">
          <w:marLeft w:val="0"/>
          <w:marRight w:val="0"/>
          <w:marTop w:val="0"/>
          <w:marBottom w:val="0"/>
          <w:divBdr>
            <w:top w:val="none" w:sz="0" w:space="0" w:color="auto"/>
            <w:left w:val="none" w:sz="0" w:space="0" w:color="auto"/>
            <w:bottom w:val="none" w:sz="0" w:space="0" w:color="auto"/>
            <w:right w:val="none" w:sz="0" w:space="0" w:color="auto"/>
          </w:divBdr>
        </w:div>
      </w:divsChild>
    </w:div>
    <w:div w:id="956175760">
      <w:bodyDiv w:val="1"/>
      <w:marLeft w:val="0"/>
      <w:marRight w:val="0"/>
      <w:marTop w:val="0"/>
      <w:marBottom w:val="0"/>
      <w:divBdr>
        <w:top w:val="none" w:sz="0" w:space="0" w:color="auto"/>
        <w:left w:val="none" w:sz="0" w:space="0" w:color="auto"/>
        <w:bottom w:val="none" w:sz="0" w:space="0" w:color="auto"/>
        <w:right w:val="none" w:sz="0" w:space="0" w:color="auto"/>
      </w:divBdr>
      <w:divsChild>
        <w:div w:id="1070232475">
          <w:marLeft w:val="0"/>
          <w:marRight w:val="0"/>
          <w:marTop w:val="0"/>
          <w:marBottom w:val="0"/>
          <w:divBdr>
            <w:top w:val="none" w:sz="0" w:space="0" w:color="auto"/>
            <w:left w:val="none" w:sz="0" w:space="0" w:color="auto"/>
            <w:bottom w:val="none" w:sz="0" w:space="0" w:color="auto"/>
            <w:right w:val="none" w:sz="0" w:space="0" w:color="auto"/>
          </w:divBdr>
        </w:div>
      </w:divsChild>
    </w:div>
    <w:div w:id="1057972616">
      <w:bodyDiv w:val="1"/>
      <w:marLeft w:val="0"/>
      <w:marRight w:val="0"/>
      <w:marTop w:val="0"/>
      <w:marBottom w:val="0"/>
      <w:divBdr>
        <w:top w:val="none" w:sz="0" w:space="0" w:color="auto"/>
        <w:left w:val="none" w:sz="0" w:space="0" w:color="auto"/>
        <w:bottom w:val="none" w:sz="0" w:space="0" w:color="auto"/>
        <w:right w:val="none" w:sz="0" w:space="0" w:color="auto"/>
      </w:divBdr>
      <w:divsChild>
        <w:div w:id="617373227">
          <w:marLeft w:val="0"/>
          <w:marRight w:val="0"/>
          <w:marTop w:val="0"/>
          <w:marBottom w:val="0"/>
          <w:divBdr>
            <w:top w:val="none" w:sz="0" w:space="0" w:color="auto"/>
            <w:left w:val="none" w:sz="0" w:space="0" w:color="auto"/>
            <w:bottom w:val="none" w:sz="0" w:space="0" w:color="auto"/>
            <w:right w:val="none" w:sz="0" w:space="0" w:color="auto"/>
          </w:divBdr>
        </w:div>
      </w:divsChild>
    </w:div>
    <w:div w:id="1302690184">
      <w:bodyDiv w:val="1"/>
      <w:marLeft w:val="0"/>
      <w:marRight w:val="0"/>
      <w:marTop w:val="0"/>
      <w:marBottom w:val="0"/>
      <w:divBdr>
        <w:top w:val="none" w:sz="0" w:space="0" w:color="auto"/>
        <w:left w:val="none" w:sz="0" w:space="0" w:color="auto"/>
        <w:bottom w:val="none" w:sz="0" w:space="0" w:color="auto"/>
        <w:right w:val="none" w:sz="0" w:space="0" w:color="auto"/>
      </w:divBdr>
      <w:divsChild>
        <w:div w:id="1059404185">
          <w:marLeft w:val="0"/>
          <w:marRight w:val="0"/>
          <w:marTop w:val="0"/>
          <w:marBottom w:val="0"/>
          <w:divBdr>
            <w:top w:val="none" w:sz="0" w:space="0" w:color="auto"/>
            <w:left w:val="none" w:sz="0" w:space="0" w:color="auto"/>
            <w:bottom w:val="none" w:sz="0" w:space="0" w:color="auto"/>
            <w:right w:val="none" w:sz="0" w:space="0" w:color="auto"/>
          </w:divBdr>
        </w:div>
      </w:divsChild>
    </w:div>
    <w:div w:id="1387297215">
      <w:bodyDiv w:val="1"/>
      <w:marLeft w:val="0"/>
      <w:marRight w:val="0"/>
      <w:marTop w:val="0"/>
      <w:marBottom w:val="0"/>
      <w:divBdr>
        <w:top w:val="none" w:sz="0" w:space="0" w:color="auto"/>
        <w:left w:val="none" w:sz="0" w:space="0" w:color="auto"/>
        <w:bottom w:val="none" w:sz="0" w:space="0" w:color="auto"/>
        <w:right w:val="none" w:sz="0" w:space="0" w:color="auto"/>
      </w:divBdr>
      <w:divsChild>
        <w:div w:id="1808664408">
          <w:marLeft w:val="0"/>
          <w:marRight w:val="0"/>
          <w:marTop w:val="0"/>
          <w:marBottom w:val="0"/>
          <w:divBdr>
            <w:top w:val="none" w:sz="0" w:space="0" w:color="auto"/>
            <w:left w:val="none" w:sz="0" w:space="0" w:color="auto"/>
            <w:bottom w:val="none" w:sz="0" w:space="0" w:color="auto"/>
            <w:right w:val="none" w:sz="0" w:space="0" w:color="auto"/>
          </w:divBdr>
        </w:div>
      </w:divsChild>
    </w:div>
    <w:div w:id="1390575461">
      <w:bodyDiv w:val="1"/>
      <w:marLeft w:val="0"/>
      <w:marRight w:val="0"/>
      <w:marTop w:val="0"/>
      <w:marBottom w:val="0"/>
      <w:divBdr>
        <w:top w:val="none" w:sz="0" w:space="0" w:color="auto"/>
        <w:left w:val="none" w:sz="0" w:space="0" w:color="auto"/>
        <w:bottom w:val="none" w:sz="0" w:space="0" w:color="auto"/>
        <w:right w:val="none" w:sz="0" w:space="0" w:color="auto"/>
      </w:divBdr>
      <w:divsChild>
        <w:div w:id="1147865714">
          <w:marLeft w:val="0"/>
          <w:marRight w:val="0"/>
          <w:marTop w:val="0"/>
          <w:marBottom w:val="0"/>
          <w:divBdr>
            <w:top w:val="none" w:sz="0" w:space="0" w:color="auto"/>
            <w:left w:val="none" w:sz="0" w:space="0" w:color="auto"/>
            <w:bottom w:val="none" w:sz="0" w:space="0" w:color="auto"/>
            <w:right w:val="none" w:sz="0" w:space="0" w:color="auto"/>
          </w:divBdr>
        </w:div>
      </w:divsChild>
    </w:div>
    <w:div w:id="1627157694">
      <w:bodyDiv w:val="1"/>
      <w:marLeft w:val="0"/>
      <w:marRight w:val="0"/>
      <w:marTop w:val="0"/>
      <w:marBottom w:val="0"/>
      <w:divBdr>
        <w:top w:val="none" w:sz="0" w:space="0" w:color="auto"/>
        <w:left w:val="none" w:sz="0" w:space="0" w:color="auto"/>
        <w:bottom w:val="none" w:sz="0" w:space="0" w:color="auto"/>
        <w:right w:val="none" w:sz="0" w:space="0" w:color="auto"/>
      </w:divBdr>
      <w:divsChild>
        <w:div w:id="2131702677">
          <w:marLeft w:val="0"/>
          <w:marRight w:val="0"/>
          <w:marTop w:val="0"/>
          <w:marBottom w:val="0"/>
          <w:divBdr>
            <w:top w:val="none" w:sz="0" w:space="0" w:color="auto"/>
            <w:left w:val="none" w:sz="0" w:space="0" w:color="auto"/>
            <w:bottom w:val="none" w:sz="0" w:space="0" w:color="auto"/>
            <w:right w:val="none" w:sz="0" w:space="0" w:color="auto"/>
          </w:divBdr>
        </w:div>
      </w:divsChild>
    </w:div>
    <w:div w:id="165560149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50">
          <w:marLeft w:val="0"/>
          <w:marRight w:val="0"/>
          <w:marTop w:val="0"/>
          <w:marBottom w:val="0"/>
          <w:divBdr>
            <w:top w:val="none" w:sz="0" w:space="0" w:color="auto"/>
            <w:left w:val="none" w:sz="0" w:space="0" w:color="auto"/>
            <w:bottom w:val="none" w:sz="0" w:space="0" w:color="auto"/>
            <w:right w:val="none" w:sz="0" w:space="0" w:color="auto"/>
          </w:divBdr>
        </w:div>
      </w:divsChild>
    </w:div>
    <w:div w:id="2008360915">
      <w:bodyDiv w:val="1"/>
      <w:marLeft w:val="0"/>
      <w:marRight w:val="0"/>
      <w:marTop w:val="0"/>
      <w:marBottom w:val="0"/>
      <w:divBdr>
        <w:top w:val="none" w:sz="0" w:space="0" w:color="auto"/>
        <w:left w:val="none" w:sz="0" w:space="0" w:color="auto"/>
        <w:bottom w:val="none" w:sz="0" w:space="0" w:color="auto"/>
        <w:right w:val="none" w:sz="0" w:space="0" w:color="auto"/>
      </w:divBdr>
      <w:divsChild>
        <w:div w:id="682711116">
          <w:marLeft w:val="0"/>
          <w:marRight w:val="0"/>
          <w:marTop w:val="0"/>
          <w:marBottom w:val="0"/>
          <w:divBdr>
            <w:top w:val="none" w:sz="0" w:space="0" w:color="auto"/>
            <w:left w:val="none" w:sz="0" w:space="0" w:color="auto"/>
            <w:bottom w:val="none" w:sz="0" w:space="0" w:color="auto"/>
            <w:right w:val="none" w:sz="0" w:space="0" w:color="auto"/>
          </w:divBdr>
        </w:div>
      </w:divsChild>
    </w:div>
    <w:div w:id="2100329694">
      <w:bodyDiv w:val="1"/>
      <w:marLeft w:val="0"/>
      <w:marRight w:val="0"/>
      <w:marTop w:val="0"/>
      <w:marBottom w:val="0"/>
      <w:divBdr>
        <w:top w:val="none" w:sz="0" w:space="0" w:color="auto"/>
        <w:left w:val="none" w:sz="0" w:space="0" w:color="auto"/>
        <w:bottom w:val="none" w:sz="0" w:space="0" w:color="auto"/>
        <w:right w:val="none" w:sz="0" w:space="0" w:color="auto"/>
      </w:divBdr>
      <w:divsChild>
        <w:div w:id="1401752907">
          <w:marLeft w:val="0"/>
          <w:marRight w:val="0"/>
          <w:marTop w:val="0"/>
          <w:marBottom w:val="0"/>
          <w:divBdr>
            <w:top w:val="none" w:sz="0" w:space="0" w:color="auto"/>
            <w:left w:val="none" w:sz="0" w:space="0" w:color="auto"/>
            <w:bottom w:val="none" w:sz="0" w:space="0" w:color="auto"/>
            <w:right w:val="none" w:sz="0" w:space="0" w:color="auto"/>
          </w:divBdr>
        </w:div>
      </w:divsChild>
    </w:div>
    <w:div w:id="2131624909">
      <w:bodyDiv w:val="1"/>
      <w:marLeft w:val="0"/>
      <w:marRight w:val="0"/>
      <w:marTop w:val="0"/>
      <w:marBottom w:val="0"/>
      <w:divBdr>
        <w:top w:val="none" w:sz="0" w:space="0" w:color="auto"/>
        <w:left w:val="none" w:sz="0" w:space="0" w:color="auto"/>
        <w:bottom w:val="none" w:sz="0" w:space="0" w:color="auto"/>
        <w:right w:val="none" w:sz="0" w:space="0" w:color="auto"/>
      </w:divBdr>
      <w:divsChild>
        <w:div w:id="77779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1287</Words>
  <Characters>6950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Maria de Araujo Oliveira</dc:creator>
  <cp:keywords/>
  <dc:description/>
  <cp:lastModifiedBy>Cleunice Soares de Oliveira</cp:lastModifiedBy>
  <cp:revision>24</cp:revision>
  <dcterms:created xsi:type="dcterms:W3CDTF">2022-04-18T15:48:00Z</dcterms:created>
  <dcterms:modified xsi:type="dcterms:W3CDTF">2024-02-29T16:43:00Z</dcterms:modified>
</cp:coreProperties>
</file>